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194798">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194798">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15C021C5" w:rsidR="00901208" w:rsidRPr="00652E92" w:rsidRDefault="00901208" w:rsidP="00194798">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AC63D7">
        <w:rPr>
          <w:rFonts w:cs="B Mitra" w:hint="cs"/>
          <w:b/>
          <w:bCs/>
          <w:sz w:val="32"/>
          <w:szCs w:val="32"/>
          <w:rtl/>
          <w:lang w:bidi="fa-IR"/>
        </w:rPr>
        <w:t>7</w:t>
      </w:r>
      <w:r w:rsidR="001517E0">
        <w:rPr>
          <w:rFonts w:cs="B Mitra" w:hint="cs"/>
          <w:b/>
          <w:bCs/>
          <w:sz w:val="32"/>
          <w:szCs w:val="32"/>
          <w:rtl/>
          <w:lang w:bidi="fa-IR"/>
        </w:rPr>
        <w:t>9</w:t>
      </w:r>
      <w:r w:rsidR="000D1141">
        <w:rPr>
          <w:rFonts w:cs="B Mitra" w:hint="cs"/>
          <w:b/>
          <w:bCs/>
          <w:sz w:val="32"/>
          <w:szCs w:val="32"/>
          <w:rtl/>
          <w:lang w:bidi="fa-IR"/>
        </w:rPr>
        <w:t>6</w:t>
      </w:r>
    </w:p>
    <w:p w14:paraId="280D37E5" w14:textId="77777777" w:rsidR="008744A3" w:rsidRDefault="008744A3" w:rsidP="00194798">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bookmarkEnd w:id="0"/>
    <w:p w14:paraId="2136844F" w14:textId="3DE0DBFB" w:rsidR="000D1141" w:rsidRPr="000D1141" w:rsidRDefault="000D1141" w:rsidP="009D5845">
      <w:pPr>
        <w:widowControl w:val="0"/>
        <w:bidi/>
        <w:spacing w:after="0" w:line="254" w:lineRule="auto"/>
        <w:ind w:firstLine="284"/>
        <w:jc w:val="both"/>
        <w:rPr>
          <w:rFonts w:ascii="Traditional Arabic" w:hAnsi="Traditional Arabic" w:cs="Abz-2 (Badr)"/>
          <w:color w:val="000000" w:themeColor="text1"/>
          <w:sz w:val="28"/>
          <w:szCs w:val="28"/>
          <w:lang w:bidi="fa-IR"/>
        </w:rPr>
      </w:pPr>
      <w:r>
        <w:rPr>
          <w:rFonts w:ascii="Traditional Arabic" w:hAnsi="Traditional Arabic" w:cs="Abz-2 (Badr)" w:hint="cs"/>
          <w:color w:val="000000" w:themeColor="text1"/>
          <w:sz w:val="28"/>
          <w:szCs w:val="28"/>
          <w:rtl/>
          <w:lang w:bidi="fa-IR"/>
        </w:rPr>
        <w:t>بر اساس آنچه که سابقاً گذشت،</w:t>
      </w:r>
      <w:r w:rsidRPr="000D1141">
        <w:rPr>
          <w:rFonts w:ascii="Traditional Arabic" w:hAnsi="Traditional Arabic" w:cs="Abz-2 (Badr)" w:hint="cs"/>
          <w:color w:val="000000" w:themeColor="text1"/>
          <w:sz w:val="28"/>
          <w:szCs w:val="28"/>
          <w:rtl/>
          <w:lang w:bidi="fa-IR"/>
        </w:rPr>
        <w:t xml:space="preserve"> می</w:t>
      </w:r>
      <w:r w:rsidRPr="000D1141">
        <w:rPr>
          <w:rFonts w:ascii="Traditional Arabic" w:hAnsi="Traditional Arabic" w:cs="Abz-2 (Badr)" w:hint="cs"/>
          <w:color w:val="000000" w:themeColor="text1"/>
          <w:sz w:val="28"/>
          <w:szCs w:val="28"/>
          <w:rtl/>
          <w:lang w:bidi="fa-IR"/>
        </w:rPr>
        <w:softHyphen/>
        <w:t xml:space="preserve">توان گفت که آيه شريفه </w:t>
      </w:r>
      <w:r w:rsidR="00B7557E">
        <w:rPr>
          <w:rFonts w:ascii="Traditional Arabic" w:hAnsi="Traditional Arabic" w:cs="Abz-2 (Badr)" w:hint="cs"/>
          <w:color w:val="000000" w:themeColor="text1"/>
          <w:sz w:val="28"/>
          <w:szCs w:val="28"/>
          <w:rtl/>
          <w:lang w:bidi="fa-IR"/>
        </w:rPr>
        <w:t xml:space="preserve">233 سوره مبارکه بقره، </w:t>
      </w:r>
      <w:r w:rsidRPr="000D1141">
        <w:rPr>
          <w:rFonts w:ascii="Traditional Arabic" w:hAnsi="Traditional Arabic" w:cs="Abz-2 (Badr)" w:hint="cs"/>
          <w:color w:val="000000" w:themeColor="text1"/>
          <w:sz w:val="28"/>
          <w:szCs w:val="28"/>
          <w:rtl/>
          <w:lang w:bidi="fa-IR"/>
        </w:rPr>
        <w:t>در صدد بيان وجوب رزق و کسوه مادر مرضعه از باب نفقه بر پدر مرتضع به نحو مطلق است، چه مادر مطلقه باشد و چه در حباله نکاح پدر، بلکه حتی اگر بين مادر و پدر زوجيتی برقرار نبوده ـ مثل اين که مادر وطی به شبهه شده باشد و يا اين که مادر، امه</w:t>
      </w:r>
      <w:r w:rsidRPr="000D1141">
        <w:rPr>
          <w:rFonts w:ascii="Traditional Arabic" w:hAnsi="Traditional Arabic" w:cs="Abz-2 (Badr)" w:hint="cs"/>
          <w:color w:val="000000" w:themeColor="text1"/>
          <w:sz w:val="28"/>
          <w:szCs w:val="28"/>
          <w:rtl/>
          <w:lang w:bidi="fa-IR"/>
        </w:rPr>
        <w:softHyphen/>
        <w:t>ای باشد که به پدر تحليل شده بوده ـ در مدت ارضاع مرتضع توسط وی، رزق و کسوه او بر پدر واجب است. همچنين اگر زنی پس از طلاق و وضع حمل که عده او با آن به پايان می</w:t>
      </w:r>
      <w:r w:rsidRPr="000D1141">
        <w:rPr>
          <w:rFonts w:ascii="Traditional Arabic" w:hAnsi="Traditional Arabic" w:cs="Abz-2 (Badr)" w:hint="cs"/>
          <w:color w:val="000000" w:themeColor="text1"/>
          <w:sz w:val="28"/>
          <w:szCs w:val="28"/>
          <w:rtl/>
          <w:lang w:bidi="fa-IR"/>
        </w:rPr>
        <w:softHyphen/>
        <w:t>رسد، با مرد ديگری ازدواج کند و در عين حال به فرزند خود از زوج سابق نيز شير بدهد، رزق و کسوه او در حال ارضاع از باب نفقه بر زوج سابق واجب است.</w:t>
      </w:r>
    </w:p>
    <w:p w14:paraId="437E8DAF" w14:textId="77777777" w:rsidR="000D1141" w:rsidRPr="000D1141" w:rsidRDefault="000D1141" w:rsidP="009D5845">
      <w:pPr>
        <w:widowControl w:val="0"/>
        <w:bidi/>
        <w:spacing w:after="0" w:line="254" w:lineRule="auto"/>
        <w:ind w:firstLine="284"/>
        <w:jc w:val="both"/>
        <w:rPr>
          <w:rFonts w:ascii="Traditional Arabic" w:hAnsi="Traditional Arabic" w:cs="Abz-2 (Badr)"/>
          <w:color w:val="000000" w:themeColor="text1"/>
          <w:sz w:val="28"/>
          <w:szCs w:val="28"/>
          <w:rtl/>
          <w:lang w:bidi="fa-IR"/>
        </w:rPr>
      </w:pPr>
      <w:r w:rsidRPr="000D1141">
        <w:rPr>
          <w:rFonts w:ascii="Traditional Arabic" w:hAnsi="Traditional Arabic" w:cs="Abz-2 (Badr)" w:hint="cs"/>
          <w:color w:val="000000" w:themeColor="text1"/>
          <w:sz w:val="28"/>
          <w:szCs w:val="28"/>
          <w:rtl/>
          <w:lang w:bidi="fa-IR"/>
        </w:rPr>
        <w:t>و نيز اگر زوجيت با عقد موقت ايجاد شده باشد که نفقه در آن منتفی است، در صورتی که زوجه حمل برداشته و دارای فرزند شود، در حال ارضاع آن فرزند، رزق و کسوه او بر عهده پدر مرتضع است.</w:t>
      </w:r>
    </w:p>
    <w:p w14:paraId="690E5B3F" w14:textId="77777777" w:rsidR="000D1141" w:rsidRPr="000D1141" w:rsidRDefault="000D1141" w:rsidP="009D5845">
      <w:pPr>
        <w:widowControl w:val="0"/>
        <w:bidi/>
        <w:spacing w:after="0" w:line="254" w:lineRule="auto"/>
        <w:ind w:firstLine="284"/>
        <w:jc w:val="both"/>
        <w:rPr>
          <w:rFonts w:ascii="Traditional Arabic" w:hAnsi="Traditional Arabic" w:cs="Abz-2 (Badr)"/>
          <w:color w:val="000000" w:themeColor="text1"/>
          <w:sz w:val="28"/>
          <w:szCs w:val="28"/>
          <w:rtl/>
          <w:lang w:bidi="fa-IR"/>
        </w:rPr>
      </w:pPr>
      <w:r w:rsidRPr="000D1141">
        <w:rPr>
          <w:rFonts w:ascii="Traditional Arabic" w:hAnsi="Traditional Arabic" w:cs="Abz-2 (Badr)" w:hint="cs"/>
          <w:color w:val="000000" w:themeColor="text1"/>
          <w:sz w:val="28"/>
          <w:szCs w:val="28"/>
          <w:rtl/>
          <w:lang w:bidi="fa-IR"/>
        </w:rPr>
        <w:t>اما اگر رزق و کسوه از باب ديگری مثل زوجيت هم بر پدر مرتضع واجب باشد، می</w:t>
      </w:r>
      <w:r w:rsidRPr="000D1141">
        <w:rPr>
          <w:rFonts w:ascii="Traditional Arabic" w:hAnsi="Traditional Arabic" w:cs="Abz-2 (Badr)" w:hint="cs"/>
          <w:color w:val="000000" w:themeColor="text1"/>
          <w:sz w:val="28"/>
          <w:szCs w:val="28"/>
          <w:rtl/>
          <w:lang w:bidi="fa-IR"/>
        </w:rPr>
        <w:softHyphen/>
        <w:t>توان گفت که ذکر آن در اين آيه شريفه به اين خاطر است که زوجه</w:t>
      </w:r>
      <w:r w:rsidRPr="000D1141">
        <w:rPr>
          <w:rFonts w:ascii="Traditional Arabic" w:hAnsi="Traditional Arabic" w:cs="Abz-2 (Badr)" w:hint="cs"/>
          <w:color w:val="000000" w:themeColor="text1"/>
          <w:sz w:val="28"/>
          <w:szCs w:val="28"/>
          <w:rtl/>
          <w:lang w:bidi="fa-IR"/>
        </w:rPr>
        <w:softHyphen/>
        <w:t>ای که در حال شير دادن به فرزند خود است، بيشتر از زوجه</w:t>
      </w:r>
      <w:r w:rsidRPr="000D1141">
        <w:rPr>
          <w:rFonts w:ascii="Traditional Arabic" w:hAnsi="Traditional Arabic" w:cs="Abz-2 (Badr)" w:hint="cs"/>
          <w:color w:val="000000" w:themeColor="text1"/>
          <w:sz w:val="28"/>
          <w:szCs w:val="28"/>
          <w:rtl/>
          <w:lang w:bidi="fa-IR"/>
        </w:rPr>
        <w:softHyphen/>
        <w:t>ای که ارضاع نمی</w:t>
      </w:r>
      <w:r w:rsidRPr="000D1141">
        <w:rPr>
          <w:rFonts w:ascii="Traditional Arabic" w:hAnsi="Traditional Arabic" w:cs="Abz-2 (Badr)" w:hint="cs"/>
          <w:color w:val="000000" w:themeColor="text1"/>
          <w:sz w:val="28"/>
          <w:szCs w:val="28"/>
          <w:rtl/>
          <w:lang w:bidi="fa-IR"/>
        </w:rPr>
        <w:softHyphen/>
        <w:t>کند نيازمند رزق و کسوه است، به همين خاطر می</w:t>
      </w:r>
      <w:r w:rsidRPr="000D1141">
        <w:rPr>
          <w:rFonts w:ascii="Traditional Arabic" w:hAnsi="Traditional Arabic" w:cs="Abz-2 (Badr)" w:hint="cs"/>
          <w:color w:val="000000" w:themeColor="text1"/>
          <w:sz w:val="28"/>
          <w:szCs w:val="28"/>
          <w:rtl/>
          <w:lang w:bidi="fa-IR"/>
        </w:rPr>
        <w:softHyphen/>
        <w:t>توان گفت که در مقداری که مشترک بين زوجيت و ارضاع است، وجوب آنها بر اساس هر دو سبب است و در مقدار زايد، بر اساس ارضاع.</w:t>
      </w:r>
    </w:p>
    <w:p w14:paraId="66CF7692" w14:textId="77777777" w:rsidR="000D1141" w:rsidRPr="000D1141" w:rsidRDefault="000D1141" w:rsidP="009D5845">
      <w:pPr>
        <w:widowControl w:val="0"/>
        <w:bidi/>
        <w:spacing w:after="0" w:line="254" w:lineRule="auto"/>
        <w:ind w:firstLine="284"/>
        <w:jc w:val="both"/>
        <w:rPr>
          <w:rFonts w:ascii="Traditional Arabic" w:hAnsi="Traditional Arabic" w:cs="Abz-2 (Badr)"/>
          <w:color w:val="000000" w:themeColor="text1"/>
          <w:sz w:val="28"/>
          <w:szCs w:val="28"/>
          <w:rtl/>
          <w:lang w:bidi="fa-IR"/>
        </w:rPr>
      </w:pPr>
      <w:r w:rsidRPr="000D1141">
        <w:rPr>
          <w:rFonts w:ascii="Traditional Arabic" w:hAnsi="Traditional Arabic" w:cs="Abz-2 (Badr)" w:hint="cs"/>
          <w:color w:val="000000" w:themeColor="text1"/>
          <w:sz w:val="28"/>
          <w:szCs w:val="28"/>
          <w:rtl/>
          <w:lang w:bidi="fa-IR"/>
        </w:rPr>
        <w:t>همچنين در مواردی که نفقه از باب زوجيت يا از باب ملکيت بر زوجه يا مالک واجب باشد در حالی که زن در حال ارضاع فرزند خود از مرد ديگری است، می</w:t>
      </w:r>
      <w:r w:rsidRPr="000D1141">
        <w:rPr>
          <w:rFonts w:ascii="Traditional Arabic" w:hAnsi="Traditional Arabic" w:cs="Abz-2 (Badr)" w:hint="cs"/>
          <w:color w:val="000000" w:themeColor="text1"/>
          <w:sz w:val="28"/>
          <w:szCs w:val="28"/>
          <w:rtl/>
          <w:lang w:bidi="fa-IR"/>
        </w:rPr>
        <w:softHyphen/>
        <w:t>توان ادعا کرد که به مقداری که مقتضای زوجيت و يا ملکيت است، رزق و کسوه او به طور مشترک بر عهده زوجه يا مالک و پدر مرتضع است و در مقدار زائد بر آن، فقط بر عهده پدر مرتضع می</w:t>
      </w:r>
      <w:r w:rsidRPr="000D1141">
        <w:rPr>
          <w:rFonts w:ascii="Traditional Arabic" w:hAnsi="Traditional Arabic" w:cs="Abz-2 (Badr)" w:hint="cs"/>
          <w:color w:val="000000" w:themeColor="text1"/>
          <w:sz w:val="28"/>
          <w:szCs w:val="28"/>
          <w:rtl/>
          <w:lang w:bidi="fa-IR"/>
        </w:rPr>
        <w:softHyphen/>
        <w:t>باشد.</w:t>
      </w:r>
    </w:p>
    <w:p w14:paraId="5884D118" w14:textId="07A3F1E6" w:rsidR="000E4FA5" w:rsidRDefault="000D1141" w:rsidP="009D5845">
      <w:pPr>
        <w:widowControl w:val="0"/>
        <w:bidi/>
        <w:spacing w:after="0" w:line="254" w:lineRule="auto"/>
        <w:ind w:firstLine="284"/>
        <w:jc w:val="both"/>
        <w:rPr>
          <w:rFonts w:ascii="Traditional Arabic" w:hAnsi="Traditional Arabic" w:cs="Abz-2 (Badr)"/>
          <w:color w:val="000000" w:themeColor="text1"/>
          <w:sz w:val="28"/>
          <w:szCs w:val="28"/>
          <w:lang w:bidi="fa-IR"/>
        </w:rPr>
      </w:pPr>
      <w:r w:rsidRPr="000D1141">
        <w:rPr>
          <w:rFonts w:ascii="Traditional Arabic" w:hAnsi="Traditional Arabic" w:cs="Abz-2 (Badr)" w:hint="cs"/>
          <w:color w:val="000000" w:themeColor="text1"/>
          <w:sz w:val="28"/>
          <w:szCs w:val="28"/>
          <w:rtl/>
          <w:lang w:bidi="fa-IR"/>
        </w:rPr>
        <w:lastRenderedPageBreak/>
        <w:t>البته سابقاً گفتيم که بر اساس آيه 6 سوره مبارکه طلاق، می</w:t>
      </w:r>
      <w:r w:rsidRPr="000D1141">
        <w:rPr>
          <w:rFonts w:ascii="Traditional Arabic" w:hAnsi="Traditional Arabic" w:cs="Abz-2 (Badr)" w:hint="cs"/>
          <w:color w:val="000000" w:themeColor="text1"/>
          <w:sz w:val="28"/>
          <w:szCs w:val="28"/>
          <w:rtl/>
          <w:lang w:bidi="fa-IR"/>
        </w:rPr>
        <w:softHyphen/>
        <w:t xml:space="preserve">توان گفت که وجوب رزق و کسوه در خصوص زن مطلقه تخصيص خورده است، زيرا در آن آيه آمده است: </w:t>
      </w:r>
      <w:r w:rsidRPr="000D1141">
        <w:rPr>
          <w:rFonts w:ascii="Traditional Arabic" w:hAnsi="Traditional Arabic" w:cs="QuranTaha" w:hint="cs"/>
          <w:color w:val="BF8F00" w:themeColor="accent4" w:themeShade="BF"/>
          <w:sz w:val="26"/>
          <w:szCs w:val="26"/>
          <w:rtl/>
          <w:lang w:bidi="fa-IR"/>
        </w:rPr>
        <w:t>«وَإِنْ كُنَّ أُولَاتِ حَمْلٍ فَأَنْفِقُوا عَلَيْهِنَّ حَتَّىٰ يَضَعْنَ حَمْلَهُنَّ فَإِنْ أَرْضَعْنَ لَكـُمْ فَآتُوهُنَّ أُجُورَهُنَّ»</w:t>
      </w:r>
      <w:r w:rsidRPr="000D1141">
        <w:rPr>
          <w:rFonts w:ascii="Traditional Arabic" w:hAnsi="Traditional Arabic" w:cs="Abz-2 (Badr)" w:hint="cs"/>
          <w:color w:val="000000" w:themeColor="text1"/>
          <w:sz w:val="28"/>
          <w:szCs w:val="28"/>
          <w:rtl/>
          <w:lang w:bidi="fa-IR"/>
        </w:rPr>
        <w:t xml:space="preserve"> و غايت وجوب انفاق در آن وضع حمل ذکر شده است و فرموده است که در صورت ارضاع، زن استحقاق اجرت خواهد داشت که هم نتيجه اخذ به مفهوم غايت و هم نتيجه اخذ به اطلاق مقامی در صورت ارضاع، اين است که نفقه در حين ارضاع بر پدر مرتضع واجب نباشد.</w:t>
      </w:r>
    </w:p>
    <w:p w14:paraId="1FDB9C28" w14:textId="1E7DF2E4" w:rsidR="009D5845" w:rsidRPr="009D5845" w:rsidRDefault="009D5845" w:rsidP="009D5845">
      <w:pPr>
        <w:widowControl w:val="0"/>
        <w:bidi/>
        <w:spacing w:after="0" w:line="257" w:lineRule="auto"/>
        <w:ind w:firstLine="284"/>
        <w:jc w:val="both"/>
        <w:rPr>
          <w:rFonts w:ascii="Traditional Arabic" w:hAnsi="Traditional Arabic" w:cs="Abz-2 (Badr)"/>
          <w:color w:val="0070C0"/>
          <w:sz w:val="28"/>
          <w:szCs w:val="28"/>
          <w:rtl/>
          <w:lang w:bidi="fa-IR"/>
        </w:rPr>
      </w:pPr>
      <w:bookmarkStart w:id="1" w:name="_Hlk190345581"/>
      <w:r>
        <w:rPr>
          <w:rFonts w:ascii="Traditional Arabic" w:hAnsi="Traditional Arabic" w:cs="Abz-2 (Badr)" w:hint="cs"/>
          <w:color w:val="000000" w:themeColor="text1"/>
          <w:sz w:val="28"/>
          <w:szCs w:val="28"/>
          <w:rtl/>
          <w:lang w:bidi="fa-IR"/>
        </w:rPr>
        <w:t xml:space="preserve">و در حسنه حلبی از ابی عبدالله(ع) هم آمده است: </w:t>
      </w:r>
      <w:r w:rsidRPr="009D5845">
        <w:rPr>
          <w:rFonts w:ascii="Traditional Arabic" w:hAnsi="Traditional Arabic" w:cs="Abz-2 (Badr)" w:hint="cs"/>
          <w:color w:val="0070C0"/>
          <w:sz w:val="28"/>
          <w:szCs w:val="28"/>
          <w:rtl/>
          <w:lang w:bidi="fa-IR"/>
        </w:rPr>
        <w:t>«</w:t>
      </w:r>
      <w:r w:rsidRPr="009D5845">
        <w:rPr>
          <w:rFonts w:ascii="Traditional Arabic" w:hAnsi="Traditional Arabic" w:cs="Abz-2 (Badr)"/>
          <w:color w:val="0070C0"/>
          <w:sz w:val="28"/>
          <w:szCs w:val="28"/>
          <w:rtl/>
          <w:lang w:bidi="ar"/>
        </w:rPr>
        <w:t>الحبلى</w:t>
      </w:r>
      <w:r w:rsidRPr="009D5845">
        <w:rPr>
          <w:rFonts w:ascii="Traditional Arabic" w:hAnsi="Traditional Arabic" w:cs="Abz-2 (Badr)" w:hint="cs"/>
          <w:color w:val="0070C0"/>
          <w:sz w:val="28"/>
          <w:szCs w:val="28"/>
          <w:rtl/>
          <w:lang w:bidi="ar"/>
        </w:rPr>
        <w:t xml:space="preserve"> </w:t>
      </w:r>
      <w:r w:rsidRPr="009D5845">
        <w:rPr>
          <w:rFonts w:ascii="Traditional Arabic" w:hAnsi="Traditional Arabic" w:cs="Abz-2 (Badr)"/>
          <w:color w:val="0070C0"/>
          <w:sz w:val="28"/>
          <w:szCs w:val="28"/>
          <w:rtl/>
          <w:lang w:bidi="ar"/>
        </w:rPr>
        <w:t>المطل</w:t>
      </w:r>
      <w:r w:rsidRPr="009D5845">
        <w:rPr>
          <w:rFonts w:ascii="Traditional Arabic" w:hAnsi="Traditional Arabic" w:cs="Abz-2 (Badr)" w:hint="cs"/>
          <w:color w:val="0070C0"/>
          <w:sz w:val="28"/>
          <w:szCs w:val="28"/>
          <w:rtl/>
          <w:lang w:bidi="ar"/>
        </w:rPr>
        <w:t>ّ</w:t>
      </w:r>
      <w:r w:rsidRPr="009D5845">
        <w:rPr>
          <w:rFonts w:ascii="Traditional Arabic" w:hAnsi="Traditional Arabic" w:cs="Abz-2 (Badr)"/>
          <w:color w:val="0070C0"/>
          <w:sz w:val="28"/>
          <w:szCs w:val="28"/>
          <w:rtl/>
          <w:lang w:bidi="ar"/>
        </w:rPr>
        <w:t>قة ينفق عليها حت</w:t>
      </w:r>
      <w:r w:rsidRPr="009D5845">
        <w:rPr>
          <w:rFonts w:ascii="Traditional Arabic" w:hAnsi="Traditional Arabic" w:cs="Abz-2 (Badr)" w:hint="cs"/>
          <w:color w:val="0070C0"/>
          <w:sz w:val="28"/>
          <w:szCs w:val="28"/>
          <w:rtl/>
          <w:lang w:bidi="ar"/>
        </w:rPr>
        <w:t>ّ</w:t>
      </w:r>
      <w:r w:rsidRPr="009D5845">
        <w:rPr>
          <w:rFonts w:ascii="Traditional Arabic" w:hAnsi="Traditional Arabic" w:cs="Abz-2 (Badr)"/>
          <w:color w:val="0070C0"/>
          <w:sz w:val="28"/>
          <w:szCs w:val="28"/>
          <w:rtl/>
          <w:lang w:bidi="ar"/>
        </w:rPr>
        <w:t>ى تضع حملها وهي أحقّ بولدها إن ترضعْه بما تقبله</w:t>
      </w:r>
      <w:r w:rsidRPr="009D5845">
        <w:rPr>
          <w:rFonts w:ascii="Traditional Arabic" w:hAnsi="Traditional Arabic" w:cs="Abz-2 (Badr)" w:hint="cs"/>
          <w:color w:val="0070C0"/>
          <w:sz w:val="28"/>
          <w:szCs w:val="28"/>
          <w:rtl/>
          <w:lang w:bidi="ar"/>
        </w:rPr>
        <w:t xml:space="preserve"> </w:t>
      </w:r>
      <w:r w:rsidRPr="009D5845">
        <w:rPr>
          <w:rFonts w:ascii="Traditional Arabic" w:hAnsi="Traditional Arabic" w:cs="Abz-2 (Badr)"/>
          <w:color w:val="0070C0"/>
          <w:sz w:val="28"/>
          <w:szCs w:val="28"/>
          <w:rtl/>
          <w:lang w:bidi="ar"/>
        </w:rPr>
        <w:t>امرأة أخرى</w:t>
      </w:r>
      <w:r w:rsidRPr="009D5845">
        <w:rPr>
          <w:rFonts w:ascii="Traditional Arabic" w:hAnsi="Traditional Arabic" w:cs="Abz-2 (Badr)" w:hint="cs"/>
          <w:color w:val="0070C0"/>
          <w:sz w:val="28"/>
          <w:szCs w:val="28"/>
          <w:rtl/>
          <w:lang w:bidi="ar"/>
        </w:rPr>
        <w:t>...»</w:t>
      </w:r>
      <w:r w:rsidRPr="0028496B">
        <w:rPr>
          <w:rStyle w:val="FootnoteReference"/>
          <w:rFonts w:ascii="Traditional Arabic" w:hAnsi="Traditional Arabic" w:cs="Abz-2 (Badr)"/>
          <w:sz w:val="28"/>
          <w:szCs w:val="28"/>
          <w:rtl/>
          <w:lang w:bidi="fa-IR"/>
        </w:rPr>
        <w:footnoteReference w:id="1"/>
      </w:r>
    </w:p>
    <w:p w14:paraId="20A3647B" w14:textId="1CC7301E" w:rsidR="009D5845" w:rsidRDefault="009D5845" w:rsidP="00854EA6">
      <w:pPr>
        <w:widowControl w:val="0"/>
        <w:bidi/>
        <w:spacing w:after="0" w:line="257"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اگر گفته شود: آنچه که از مفهوم و اطلاق مقامی آيه و حسنه استفاده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شود، نفی وجوب نفقه زن مطلقه بعد از وضع حمل است و اين مطلب منافاتی با وجوب رزق و کسوه او بر پدر مرتضع در زمان شيردهی ندارد، زيرا همان گونه که گذشت، نفقه اعم از رزق و کسوه است.</w:t>
      </w:r>
    </w:p>
    <w:p w14:paraId="744A922A" w14:textId="7C6E6957" w:rsidR="009D5845" w:rsidRDefault="009D5845" w:rsidP="00854EA6">
      <w:pPr>
        <w:widowControl w:val="0"/>
        <w:bidi/>
        <w:spacing w:after="0" w:line="257"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پاسخ اين است که با وجود قبول وجود دلالت مذکور در آيه و حسنه حلبی، وجهی برای اين اشکال نيست، زيرا نفی عام سبب انتفاء خاص نيز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گردد.</w:t>
      </w:r>
    </w:p>
    <w:p w14:paraId="10E27F07" w14:textId="18D4E5DA" w:rsidR="0085708F" w:rsidRDefault="0085708F" w:rsidP="00854EA6">
      <w:pPr>
        <w:widowControl w:val="0"/>
        <w:bidi/>
        <w:spacing w:after="0" w:line="257"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بر اين اساس بعيد نيست که در خصوص زنی که به نکاح موقت با او نکاح شده و حمل برداشته و پس از انقضاء مدت نکاح، مشغول به شير دادن به فرزند خود است نيز به تنقيح مناط و يا به اولويت، قائل به عدم وجوب نفقه و کفايت اعطاء اجرت رضاع به او شويم.</w:t>
      </w:r>
    </w:p>
    <w:p w14:paraId="652D675A" w14:textId="2A5F6EF3" w:rsidR="00B7557E" w:rsidRDefault="00B7557E" w:rsidP="00854EA6">
      <w:pPr>
        <w:widowControl w:val="0"/>
        <w:bidi/>
        <w:spacing w:after="0" w:line="257" w:lineRule="auto"/>
        <w:ind w:firstLine="284"/>
        <w:jc w:val="both"/>
        <w:rPr>
          <w:rFonts w:ascii="Traditional Arabic" w:hAnsi="Traditional Arabic" w:cs="Abz-2 (Badr)"/>
          <w:color w:val="000000" w:themeColor="text1"/>
          <w:sz w:val="28"/>
          <w:szCs w:val="28"/>
          <w:lang w:bidi="fa-IR"/>
        </w:rPr>
      </w:pPr>
      <w:r>
        <w:rPr>
          <w:rFonts w:ascii="Traditional Arabic" w:hAnsi="Traditional Arabic" w:cs="Abz-2 (Badr)" w:hint="cs"/>
          <w:color w:val="000000" w:themeColor="text1"/>
          <w:sz w:val="28"/>
          <w:szCs w:val="28"/>
          <w:rtl/>
          <w:lang w:bidi="fa-IR"/>
        </w:rPr>
        <w:t>اما در خصوص وجه اي</w:t>
      </w:r>
      <w:r w:rsidR="0028496B">
        <w:rPr>
          <w:rFonts w:ascii="Traditional Arabic" w:hAnsi="Traditional Arabic" w:cs="Abz-2 (Badr)" w:hint="cs"/>
          <w:color w:val="000000" w:themeColor="text1"/>
          <w:sz w:val="28"/>
          <w:szCs w:val="28"/>
          <w:rtl/>
          <w:lang w:bidi="fa-IR"/>
        </w:rPr>
        <w:t>ن</w:t>
      </w:r>
      <w:r>
        <w:rPr>
          <w:rFonts w:ascii="Traditional Arabic" w:hAnsi="Traditional Arabic" w:cs="Abz-2 (Badr)" w:hint="cs"/>
          <w:color w:val="000000" w:themeColor="text1"/>
          <w:sz w:val="28"/>
          <w:szCs w:val="28"/>
          <w:rtl/>
          <w:lang w:bidi="fa-IR"/>
        </w:rPr>
        <w:t xml:space="preserve"> که چرا در آيه شريفه به جای «الوالد» فرموده است: </w:t>
      </w:r>
      <w:r w:rsidR="0028496B" w:rsidRPr="0028496B">
        <w:rPr>
          <w:rFonts w:ascii="Traditional Arabic" w:hAnsi="Traditional Arabic" w:cs="QuranTaha" w:hint="cs"/>
          <w:color w:val="BF8F00" w:themeColor="accent4" w:themeShade="BF"/>
          <w:sz w:val="26"/>
          <w:szCs w:val="26"/>
          <w:rtl/>
          <w:lang w:bidi="fa-IR"/>
        </w:rPr>
        <w:t>«الْمَوْلُودِ لَهُ»</w:t>
      </w:r>
      <w:r>
        <w:rPr>
          <w:rFonts w:ascii="Traditional Arabic" w:hAnsi="Traditional Arabic" w:cs="Abz-2 (Badr)" w:hint="cs"/>
          <w:color w:val="000000" w:themeColor="text1"/>
          <w:sz w:val="28"/>
          <w:szCs w:val="28"/>
          <w:rtl/>
          <w:lang w:bidi="fa-IR"/>
        </w:rPr>
        <w:t xml:space="preserve"> در نزد مفسّرين اختلاف است.</w:t>
      </w:r>
    </w:p>
    <w:p w14:paraId="46F33420" w14:textId="1B4C83B3" w:rsidR="009D5845" w:rsidRDefault="0028496B" w:rsidP="00854EA6">
      <w:pPr>
        <w:widowControl w:val="0"/>
        <w:bidi/>
        <w:spacing w:after="0" w:line="257" w:lineRule="auto"/>
        <w:ind w:firstLine="284"/>
        <w:jc w:val="both"/>
        <w:rPr>
          <w:rFonts w:ascii="Traditional Arabic" w:hAnsi="Traditional Arabic" w:cs="Abz-2 (Badr)"/>
          <w:color w:val="0070C0"/>
          <w:sz w:val="28"/>
          <w:szCs w:val="28"/>
          <w:rtl/>
          <w:lang w:bidi="fa-IR"/>
        </w:rPr>
      </w:pPr>
      <w:r>
        <w:rPr>
          <w:rFonts w:ascii="Traditional Arabic" w:hAnsi="Traditional Arabic" w:cs="Abz-2 (Badr)" w:hint="cs"/>
          <w:color w:val="000000" w:themeColor="text1"/>
          <w:sz w:val="28"/>
          <w:szCs w:val="28"/>
          <w:rtl/>
          <w:lang w:bidi="fa-IR"/>
        </w:rPr>
        <w:t>زمخشری در اين خصوص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گويد: </w:t>
      </w:r>
      <w:r w:rsidRPr="00E5774B">
        <w:rPr>
          <w:rFonts w:ascii="Traditional Arabic" w:hAnsi="Traditional Arabic" w:cs="Abz-2 (Badr)" w:hint="cs"/>
          <w:color w:val="0070C0"/>
          <w:sz w:val="28"/>
          <w:szCs w:val="28"/>
          <w:rtl/>
          <w:lang w:bidi="fa-IR"/>
        </w:rPr>
        <w:t>«</w:t>
      </w:r>
      <w:r w:rsidR="00E5774B" w:rsidRPr="00E5774B">
        <w:rPr>
          <w:rFonts w:ascii="Traditional Arabic" w:hAnsi="Traditional Arabic" w:cs="Abz-2 (Badr)" w:hint="cs"/>
          <w:color w:val="0070C0"/>
          <w:sz w:val="28"/>
          <w:szCs w:val="28"/>
          <w:rtl/>
          <w:lang w:bidi="fa-IR"/>
        </w:rPr>
        <w:t>إن قلت</w:t>
      </w:r>
      <w:r w:rsidR="009D5845">
        <w:rPr>
          <w:rFonts w:ascii="Traditional Arabic" w:hAnsi="Traditional Arabic" w:cs="Abz-2 (Badr)" w:hint="cs"/>
          <w:color w:val="0070C0"/>
          <w:sz w:val="28"/>
          <w:szCs w:val="28"/>
          <w:rtl/>
          <w:lang w:bidi="fa-IR"/>
        </w:rPr>
        <w:t>:</w:t>
      </w:r>
      <w:r w:rsidR="00E5774B" w:rsidRPr="00E5774B">
        <w:rPr>
          <w:rFonts w:ascii="Traditional Arabic" w:hAnsi="Traditional Arabic" w:cs="Abz-2 (Badr)" w:hint="cs"/>
          <w:color w:val="0070C0"/>
          <w:sz w:val="28"/>
          <w:szCs w:val="28"/>
          <w:rtl/>
          <w:lang w:bidi="fa-IR"/>
        </w:rPr>
        <w:t xml:space="preserve"> ل</w:t>
      </w:r>
      <w:r w:rsidR="009D5845">
        <w:rPr>
          <w:rFonts w:ascii="Traditional Arabic" w:hAnsi="Traditional Arabic" w:cs="Abz-2 (Badr)" w:hint="cs"/>
          <w:color w:val="0070C0"/>
          <w:sz w:val="28"/>
          <w:szCs w:val="28"/>
          <w:rtl/>
          <w:lang w:bidi="fa-IR"/>
        </w:rPr>
        <w:t>ِ</w:t>
      </w:r>
      <w:r w:rsidR="00E5774B" w:rsidRPr="00E5774B">
        <w:rPr>
          <w:rFonts w:ascii="Traditional Arabic" w:hAnsi="Traditional Arabic" w:cs="Abz-2 (Badr)" w:hint="cs"/>
          <w:color w:val="0070C0"/>
          <w:sz w:val="28"/>
          <w:szCs w:val="28"/>
          <w:rtl/>
          <w:lang w:bidi="fa-IR"/>
        </w:rPr>
        <w:t>م</w:t>
      </w:r>
      <w:r w:rsidR="009D5845">
        <w:rPr>
          <w:rFonts w:ascii="Traditional Arabic" w:hAnsi="Traditional Arabic" w:cs="Abz-2 (Badr)" w:hint="cs"/>
          <w:color w:val="0070C0"/>
          <w:sz w:val="28"/>
          <w:szCs w:val="28"/>
          <w:rtl/>
          <w:lang w:bidi="fa-IR"/>
        </w:rPr>
        <w:t>َ</w:t>
      </w:r>
      <w:r w:rsidR="00E5774B" w:rsidRPr="00E5774B">
        <w:rPr>
          <w:rFonts w:ascii="Traditional Arabic" w:hAnsi="Traditional Arabic" w:cs="Abz-2 (Badr)" w:hint="cs"/>
          <w:color w:val="0070C0"/>
          <w:sz w:val="28"/>
          <w:szCs w:val="28"/>
          <w:rtl/>
          <w:lang w:bidi="fa-IR"/>
        </w:rPr>
        <w:t xml:space="preserve"> قيل:</w:t>
      </w:r>
      <w:r w:rsidR="00E5774B">
        <w:rPr>
          <w:rFonts w:ascii="Traditional Arabic" w:hAnsi="Traditional Arabic" w:cs="Abz-2 (Badr)" w:hint="cs"/>
          <w:color w:val="000000" w:themeColor="text1"/>
          <w:sz w:val="28"/>
          <w:szCs w:val="28"/>
          <w:rtl/>
          <w:lang w:bidi="fa-IR"/>
        </w:rPr>
        <w:t xml:space="preserve"> </w:t>
      </w:r>
      <w:r w:rsidR="00E5774B" w:rsidRPr="00E5774B">
        <w:rPr>
          <w:rFonts w:ascii="Traditional Arabic" w:hAnsi="Traditional Arabic" w:cs="QuranTaha" w:hint="cs"/>
          <w:color w:val="BF8F00" w:themeColor="accent4" w:themeShade="BF"/>
          <w:sz w:val="26"/>
          <w:szCs w:val="26"/>
          <w:rtl/>
          <w:lang w:bidi="fa-IR"/>
        </w:rPr>
        <w:t>«الْمَوْلُودِ له»</w:t>
      </w:r>
      <w:r w:rsidR="00E5774B" w:rsidRPr="00E5774B">
        <w:rPr>
          <w:rFonts w:ascii="Traditional Arabic" w:hAnsi="Traditional Arabic" w:cs="Abz-2 (Badr)" w:hint="cs"/>
          <w:color w:val="0070C0"/>
          <w:sz w:val="28"/>
          <w:szCs w:val="28"/>
          <w:rtl/>
          <w:lang w:bidi="fa-IR"/>
        </w:rPr>
        <w:t xml:space="preserve"> دون </w:t>
      </w:r>
      <w:r w:rsidR="009D5845">
        <w:rPr>
          <w:rFonts w:ascii="Traditional Arabic" w:hAnsi="Traditional Arabic" w:cs="Abz-2 (Badr)" w:hint="cs"/>
          <w:color w:val="0070C0"/>
          <w:sz w:val="28"/>
          <w:szCs w:val="28"/>
          <w:rtl/>
          <w:lang w:bidi="fa-IR"/>
        </w:rPr>
        <w:t>«</w:t>
      </w:r>
      <w:r w:rsidR="00E5774B" w:rsidRPr="00E5774B">
        <w:rPr>
          <w:rFonts w:ascii="Traditional Arabic" w:hAnsi="Traditional Arabic" w:cs="Abz-2 (Badr)" w:hint="cs"/>
          <w:color w:val="0070C0"/>
          <w:sz w:val="28"/>
          <w:szCs w:val="28"/>
          <w:rtl/>
          <w:lang w:bidi="fa-IR"/>
        </w:rPr>
        <w:t>الوالد</w:t>
      </w:r>
      <w:r w:rsidR="009D5845">
        <w:rPr>
          <w:rFonts w:ascii="Traditional Arabic" w:hAnsi="Traditional Arabic" w:cs="Abz-2 (Badr)" w:hint="cs"/>
          <w:color w:val="0070C0"/>
          <w:sz w:val="28"/>
          <w:szCs w:val="28"/>
          <w:rtl/>
          <w:lang w:bidi="fa-IR"/>
        </w:rPr>
        <w:t>»</w:t>
      </w:r>
      <w:r w:rsidR="00E5774B" w:rsidRPr="00E5774B">
        <w:rPr>
          <w:rFonts w:ascii="Traditional Arabic" w:hAnsi="Traditional Arabic" w:cs="Abz-2 (Badr)" w:hint="cs"/>
          <w:color w:val="0070C0"/>
          <w:sz w:val="28"/>
          <w:szCs w:val="28"/>
          <w:rtl/>
          <w:lang w:bidi="fa-IR"/>
        </w:rPr>
        <w:t>.</w:t>
      </w:r>
    </w:p>
    <w:p w14:paraId="7F722E59" w14:textId="7B237BAD" w:rsidR="00E5774B" w:rsidRDefault="00E5774B" w:rsidP="00854EA6">
      <w:pPr>
        <w:widowControl w:val="0"/>
        <w:bidi/>
        <w:spacing w:after="0" w:line="257" w:lineRule="auto"/>
        <w:ind w:firstLine="284"/>
        <w:jc w:val="both"/>
        <w:rPr>
          <w:rFonts w:ascii="Traditional Arabic" w:hAnsi="Traditional Arabic" w:cs="Abz-2 (Badr)"/>
          <w:color w:val="0070C0"/>
          <w:sz w:val="28"/>
          <w:szCs w:val="28"/>
          <w:rtl/>
          <w:lang w:bidi="fa-IR"/>
        </w:rPr>
      </w:pPr>
      <w:r w:rsidRPr="00E5774B">
        <w:rPr>
          <w:rFonts w:ascii="Traditional Arabic" w:hAnsi="Traditional Arabic" w:cs="Abz-2 (Badr)" w:hint="cs"/>
          <w:color w:val="0070C0"/>
          <w:sz w:val="28"/>
          <w:szCs w:val="28"/>
          <w:rtl/>
          <w:lang w:bidi="fa-IR"/>
        </w:rPr>
        <w:lastRenderedPageBreak/>
        <w:t>قلت: ليعلم أنّ الوالدات إنّما ولدن لهم، لأنّ الأولاد للآباء، ولذلك ينسبون إليهم لا إلى الأُمّهات...</w:t>
      </w:r>
      <w:r>
        <w:rPr>
          <w:rFonts w:ascii="Traditional Arabic" w:hAnsi="Traditional Arabic" w:cs="Abz-2 (Badr)" w:hint="cs"/>
          <w:color w:val="0070C0"/>
          <w:sz w:val="28"/>
          <w:szCs w:val="28"/>
          <w:rtl/>
          <w:lang w:bidi="fa-IR"/>
        </w:rPr>
        <w:t xml:space="preserve"> </w:t>
      </w:r>
      <w:r w:rsidRPr="00E5774B">
        <w:rPr>
          <w:rFonts w:ascii="Traditional Arabic" w:hAnsi="Traditional Arabic" w:cs="Abz-2 (Badr)" w:hint="cs"/>
          <w:color w:val="0070C0"/>
          <w:sz w:val="28"/>
          <w:szCs w:val="28"/>
          <w:rtl/>
          <w:lang w:bidi="fa-IR"/>
        </w:rPr>
        <w:t>فكان عليهم أن يرزقوهن</w:t>
      </w:r>
      <w:r>
        <w:rPr>
          <w:rFonts w:ascii="Traditional Arabic" w:hAnsi="Traditional Arabic" w:cs="Abz-2 (Badr)" w:hint="cs"/>
          <w:color w:val="0070C0"/>
          <w:sz w:val="28"/>
          <w:szCs w:val="28"/>
          <w:rtl/>
          <w:lang w:bidi="fa-IR"/>
        </w:rPr>
        <w:t>ّ</w:t>
      </w:r>
      <w:r w:rsidRPr="00E5774B">
        <w:rPr>
          <w:rFonts w:ascii="Traditional Arabic" w:hAnsi="Traditional Arabic" w:cs="Abz-2 (Badr)" w:hint="cs"/>
          <w:color w:val="0070C0"/>
          <w:sz w:val="28"/>
          <w:szCs w:val="28"/>
          <w:rtl/>
          <w:lang w:bidi="fa-IR"/>
        </w:rPr>
        <w:t xml:space="preserve"> ويكسوهن</w:t>
      </w:r>
      <w:r>
        <w:rPr>
          <w:rFonts w:ascii="Traditional Arabic" w:hAnsi="Traditional Arabic" w:cs="Abz-2 (Badr)" w:hint="cs"/>
          <w:color w:val="0070C0"/>
          <w:sz w:val="28"/>
          <w:szCs w:val="28"/>
          <w:rtl/>
          <w:lang w:bidi="fa-IR"/>
        </w:rPr>
        <w:t>ّ</w:t>
      </w:r>
      <w:r w:rsidRPr="00E5774B">
        <w:rPr>
          <w:rFonts w:ascii="Traditional Arabic" w:hAnsi="Traditional Arabic" w:cs="Abz-2 (Badr)" w:hint="cs"/>
          <w:color w:val="0070C0"/>
          <w:sz w:val="28"/>
          <w:szCs w:val="28"/>
          <w:rtl/>
          <w:lang w:bidi="fa-IR"/>
        </w:rPr>
        <w:t xml:space="preserve"> إذا أرضعن ولدهم، كالأظآر.</w:t>
      </w:r>
    </w:p>
    <w:p w14:paraId="09DDF2C1" w14:textId="67587150" w:rsidR="00E5774B" w:rsidRPr="00E5774B" w:rsidRDefault="00E5774B" w:rsidP="00854EA6">
      <w:pPr>
        <w:widowControl w:val="0"/>
        <w:bidi/>
        <w:spacing w:after="0" w:line="257" w:lineRule="auto"/>
        <w:ind w:firstLine="284"/>
        <w:jc w:val="both"/>
        <w:rPr>
          <w:rFonts w:ascii="Traditional Arabic" w:hAnsi="Traditional Arabic" w:cs="Abz-2 (Badr)"/>
          <w:color w:val="0070C0"/>
          <w:sz w:val="28"/>
          <w:szCs w:val="28"/>
          <w:rtl/>
          <w:lang w:bidi="fa-IR"/>
        </w:rPr>
      </w:pPr>
      <w:r w:rsidRPr="00E5774B">
        <w:rPr>
          <w:rFonts w:ascii="Traditional Arabic" w:hAnsi="Traditional Arabic" w:cs="Abz-2 (Badr)" w:hint="cs"/>
          <w:color w:val="0070C0"/>
          <w:sz w:val="28"/>
          <w:szCs w:val="28"/>
          <w:rtl/>
          <w:lang w:bidi="fa-IR"/>
        </w:rPr>
        <w:t>ألا ترى أن</w:t>
      </w:r>
      <w:r>
        <w:rPr>
          <w:rFonts w:ascii="Traditional Arabic" w:hAnsi="Traditional Arabic" w:cs="Abz-2 (Badr)" w:hint="cs"/>
          <w:color w:val="0070C0"/>
          <w:sz w:val="28"/>
          <w:szCs w:val="28"/>
          <w:rtl/>
          <w:lang w:bidi="fa-IR"/>
        </w:rPr>
        <w:t>ّ</w:t>
      </w:r>
      <w:r w:rsidRPr="00E5774B">
        <w:rPr>
          <w:rFonts w:ascii="Traditional Arabic" w:hAnsi="Traditional Arabic" w:cs="Abz-2 (Badr)" w:hint="cs"/>
          <w:color w:val="0070C0"/>
          <w:sz w:val="28"/>
          <w:szCs w:val="28"/>
          <w:rtl/>
          <w:lang w:bidi="fa-IR"/>
        </w:rPr>
        <w:t xml:space="preserve">ه ذكره باسم الوالد حيث لم يكن هذا المعنى، وهو قوله تعالى: </w:t>
      </w:r>
      <w:r w:rsidRPr="00E5774B">
        <w:rPr>
          <w:rFonts w:ascii="Traditional Arabic" w:hAnsi="Traditional Arabic" w:cs="QuranTaha" w:hint="cs"/>
          <w:color w:val="BF8F00" w:themeColor="accent4" w:themeShade="BF"/>
          <w:sz w:val="26"/>
          <w:szCs w:val="26"/>
          <w:rtl/>
          <w:lang w:bidi="fa-IR"/>
        </w:rPr>
        <w:t>«وَاخْشَوْا يَوْماً لا يَجْزِي والِدٌ عَنْ وَلَدِهِ وَلا مَوْلُودٌ هُوَ جازٍ عَنْ والِدِهِ شَيْئاً»</w:t>
      </w:r>
      <w:r w:rsidRPr="0028496B">
        <w:rPr>
          <w:rStyle w:val="FootnoteReference"/>
          <w:rFonts w:ascii="Traditional Arabic" w:hAnsi="Traditional Arabic" w:cs="Abz-2 (Badr)"/>
          <w:sz w:val="28"/>
          <w:szCs w:val="28"/>
          <w:rtl/>
          <w:lang w:bidi="fa-IR"/>
        </w:rPr>
        <w:footnoteReference w:id="2"/>
      </w:r>
      <w:r>
        <w:rPr>
          <w:rFonts w:ascii="Traditional Arabic" w:hAnsi="Traditional Arabic" w:cs="Abz-2 (Badr)" w:hint="cs"/>
          <w:color w:val="0070C0"/>
          <w:sz w:val="28"/>
          <w:szCs w:val="28"/>
          <w:rtl/>
          <w:lang w:bidi="fa-IR"/>
        </w:rPr>
        <w:t>.»</w:t>
      </w:r>
      <w:r w:rsidRPr="0028496B">
        <w:rPr>
          <w:rStyle w:val="FootnoteReference"/>
          <w:rFonts w:ascii="Traditional Arabic" w:hAnsi="Traditional Arabic" w:cs="Abz-2 (Badr)"/>
          <w:sz w:val="28"/>
          <w:szCs w:val="28"/>
          <w:rtl/>
          <w:lang w:bidi="fa-IR"/>
        </w:rPr>
        <w:footnoteReference w:id="3"/>
      </w:r>
    </w:p>
    <w:p w14:paraId="63F6AAA7" w14:textId="1E646496" w:rsidR="0028496B" w:rsidRPr="0028496B" w:rsidRDefault="0028496B" w:rsidP="00854EA6">
      <w:pPr>
        <w:widowControl w:val="0"/>
        <w:bidi/>
        <w:spacing w:after="0" w:line="257" w:lineRule="auto"/>
        <w:ind w:firstLine="284"/>
        <w:jc w:val="both"/>
        <w:rPr>
          <w:rFonts w:ascii="Traditional Arabic" w:hAnsi="Traditional Arabic" w:cs="Abz-2 (Badr)"/>
          <w:color w:val="0070C0"/>
          <w:sz w:val="28"/>
          <w:szCs w:val="28"/>
          <w:rtl/>
          <w:lang w:bidi="fa-IR"/>
        </w:rPr>
      </w:pPr>
      <w:r>
        <w:rPr>
          <w:rFonts w:ascii="Traditional Arabic" w:hAnsi="Traditional Arabic" w:cs="Abz-2 (Badr)" w:hint="cs"/>
          <w:color w:val="000000" w:themeColor="text1"/>
          <w:sz w:val="28"/>
          <w:szCs w:val="28"/>
          <w:rtl/>
          <w:lang w:bidi="fa-IR"/>
        </w:rPr>
        <w:t>فخر رازی نيز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گويد:</w:t>
      </w:r>
      <w:r w:rsidRPr="0028496B">
        <w:rPr>
          <w:rFonts w:ascii="Traditional Arabic" w:hAnsi="Traditional Arabic" w:cs="QuranTaha" w:hint="cs"/>
          <w:color w:val="BF8F00" w:themeColor="accent4" w:themeShade="BF"/>
          <w:sz w:val="26"/>
          <w:szCs w:val="26"/>
          <w:rtl/>
          <w:lang w:bidi="fa-IR"/>
        </w:rPr>
        <w:t xml:space="preserve"> </w:t>
      </w:r>
      <w:r w:rsidRPr="0028496B">
        <w:rPr>
          <w:rFonts w:ascii="Traditional Arabic" w:hAnsi="Traditional Arabic" w:cs="Abz-2 (Badr)" w:hint="cs"/>
          <w:color w:val="0070C0"/>
          <w:sz w:val="28"/>
          <w:szCs w:val="28"/>
          <w:rtl/>
          <w:lang w:bidi="fa-IR"/>
        </w:rPr>
        <w:t>«</w:t>
      </w:r>
      <w:r w:rsidRPr="0028496B">
        <w:rPr>
          <w:rFonts w:ascii="Traditional Arabic" w:hAnsi="Traditional Arabic" w:cs="QuranTaha" w:hint="cs"/>
          <w:color w:val="BF8F00" w:themeColor="accent4" w:themeShade="BF"/>
          <w:sz w:val="26"/>
          <w:szCs w:val="26"/>
          <w:rtl/>
          <w:lang w:bidi="fa-IR"/>
        </w:rPr>
        <w:t xml:space="preserve">«الْمَوْلُودِ لَهُ» </w:t>
      </w:r>
      <w:r w:rsidRPr="0028496B">
        <w:rPr>
          <w:rFonts w:ascii="Traditional Arabic" w:hAnsi="Traditional Arabic" w:cs="Abz-2 (Badr)" w:hint="cs"/>
          <w:color w:val="0070C0"/>
          <w:sz w:val="28"/>
          <w:szCs w:val="28"/>
          <w:rtl/>
          <w:lang w:bidi="fa-IR"/>
        </w:rPr>
        <w:t>هو الوالد، وإنّما عب</w:t>
      </w:r>
      <w:r>
        <w:rPr>
          <w:rFonts w:ascii="Traditional Arabic" w:hAnsi="Traditional Arabic" w:cs="Abz-2 (Badr)" w:hint="cs"/>
          <w:color w:val="0070C0"/>
          <w:sz w:val="28"/>
          <w:szCs w:val="28"/>
          <w:rtl/>
          <w:lang w:bidi="fa-IR"/>
        </w:rPr>
        <w:t>ّ</w:t>
      </w:r>
      <w:r w:rsidRPr="0028496B">
        <w:rPr>
          <w:rFonts w:ascii="Traditional Arabic" w:hAnsi="Traditional Arabic" w:cs="Abz-2 (Badr)" w:hint="cs"/>
          <w:color w:val="0070C0"/>
          <w:sz w:val="28"/>
          <w:szCs w:val="28"/>
          <w:rtl/>
          <w:lang w:bidi="fa-IR"/>
        </w:rPr>
        <w:t>ر عنه بهذا الاسم لوجوه:</w:t>
      </w:r>
    </w:p>
    <w:p w14:paraId="4F8CE497" w14:textId="56553F1E" w:rsidR="0028496B" w:rsidRPr="0028496B" w:rsidRDefault="0028496B" w:rsidP="00854EA6">
      <w:pPr>
        <w:widowControl w:val="0"/>
        <w:bidi/>
        <w:spacing w:after="0" w:line="257" w:lineRule="auto"/>
        <w:ind w:firstLine="284"/>
        <w:jc w:val="both"/>
        <w:rPr>
          <w:rFonts w:ascii="Traditional Arabic" w:hAnsi="Traditional Arabic" w:cs="Abz-2 (Badr)"/>
          <w:color w:val="0070C0"/>
          <w:sz w:val="28"/>
          <w:szCs w:val="28"/>
          <w:lang w:bidi="fa-IR"/>
        </w:rPr>
      </w:pPr>
      <w:r w:rsidRPr="0028496B">
        <w:rPr>
          <w:rFonts w:ascii="Traditional Arabic" w:hAnsi="Traditional Arabic" w:cs="Abz-2 (Badr)" w:hint="cs"/>
          <w:color w:val="0070C0"/>
          <w:sz w:val="28"/>
          <w:szCs w:val="28"/>
          <w:rtl/>
          <w:lang w:bidi="fa-IR"/>
        </w:rPr>
        <w:t>الأوّل: قال صاحب الکشّاف...</w:t>
      </w:r>
    </w:p>
    <w:p w14:paraId="73276C8B" w14:textId="77777777" w:rsidR="0028496B" w:rsidRDefault="0028496B" w:rsidP="00854EA6">
      <w:pPr>
        <w:widowControl w:val="0"/>
        <w:bidi/>
        <w:spacing w:after="0" w:line="257" w:lineRule="auto"/>
        <w:ind w:firstLine="284"/>
        <w:jc w:val="both"/>
        <w:rPr>
          <w:rFonts w:ascii="Traditional Arabic" w:hAnsi="Traditional Arabic" w:cs="Abz-2 (Badr)"/>
          <w:color w:val="0070C0"/>
          <w:sz w:val="28"/>
          <w:szCs w:val="28"/>
          <w:rtl/>
          <w:lang w:bidi="fa-IR"/>
        </w:rPr>
      </w:pPr>
      <w:r w:rsidRPr="0028496B">
        <w:rPr>
          <w:rFonts w:ascii="Traditional Arabic" w:hAnsi="Traditional Arabic" w:cs="Abz-2 (Badr)" w:hint="cs"/>
          <w:color w:val="0070C0"/>
          <w:sz w:val="28"/>
          <w:szCs w:val="28"/>
          <w:rtl/>
          <w:lang w:bidi="fa-IR"/>
        </w:rPr>
        <w:t>الثاني: أنّ هذا تنبيه على أن</w:t>
      </w:r>
      <w:r>
        <w:rPr>
          <w:rFonts w:ascii="Traditional Arabic" w:hAnsi="Traditional Arabic" w:cs="Abz-2 (Badr)" w:hint="cs"/>
          <w:color w:val="0070C0"/>
          <w:sz w:val="28"/>
          <w:szCs w:val="28"/>
          <w:rtl/>
          <w:lang w:bidi="fa-IR"/>
        </w:rPr>
        <w:t>ّ</w:t>
      </w:r>
      <w:r w:rsidRPr="0028496B">
        <w:rPr>
          <w:rFonts w:ascii="Traditional Arabic" w:hAnsi="Traditional Arabic" w:cs="Abz-2 (Badr)" w:hint="cs"/>
          <w:color w:val="0070C0"/>
          <w:sz w:val="28"/>
          <w:szCs w:val="28"/>
          <w:rtl/>
          <w:lang w:bidi="fa-IR"/>
        </w:rPr>
        <w:t xml:space="preserve"> الولد إنم</w:t>
      </w:r>
      <w:r>
        <w:rPr>
          <w:rFonts w:ascii="Traditional Arabic" w:hAnsi="Traditional Arabic" w:cs="Abz-2 (Badr)" w:hint="cs"/>
          <w:color w:val="0070C0"/>
          <w:sz w:val="28"/>
          <w:szCs w:val="28"/>
          <w:rtl/>
          <w:lang w:bidi="fa-IR"/>
        </w:rPr>
        <w:t>ّ</w:t>
      </w:r>
      <w:r w:rsidRPr="0028496B">
        <w:rPr>
          <w:rFonts w:ascii="Traditional Arabic" w:hAnsi="Traditional Arabic" w:cs="Abz-2 (Badr)" w:hint="cs"/>
          <w:color w:val="0070C0"/>
          <w:sz w:val="28"/>
          <w:szCs w:val="28"/>
          <w:rtl/>
          <w:lang w:bidi="fa-IR"/>
        </w:rPr>
        <w:t>ا يلتحق بالوالد لكونه مولودا</w:t>
      </w:r>
      <w:r>
        <w:rPr>
          <w:rFonts w:ascii="Traditional Arabic" w:hAnsi="Traditional Arabic" w:cs="Abz-2 (Badr)" w:hint="cs"/>
          <w:color w:val="0070C0"/>
          <w:sz w:val="28"/>
          <w:szCs w:val="28"/>
          <w:rtl/>
          <w:lang w:bidi="fa-IR"/>
        </w:rPr>
        <w:t>ً</w:t>
      </w:r>
      <w:r w:rsidRPr="0028496B">
        <w:rPr>
          <w:rFonts w:ascii="Traditional Arabic" w:hAnsi="Traditional Arabic" w:cs="Abz-2 (Badr)" w:hint="cs"/>
          <w:color w:val="0070C0"/>
          <w:sz w:val="28"/>
          <w:szCs w:val="28"/>
          <w:rtl/>
          <w:lang w:bidi="fa-IR"/>
        </w:rPr>
        <w:t xml:space="preserve"> على فراشه على ما</w:t>
      </w:r>
      <w:r>
        <w:rPr>
          <w:rFonts w:ascii="Traditional Arabic" w:hAnsi="Traditional Arabic" w:cs="Abz-2 (Badr)" w:hint="cs"/>
          <w:color w:val="0070C0"/>
          <w:sz w:val="28"/>
          <w:szCs w:val="28"/>
          <w:rtl/>
          <w:lang w:bidi="fa-IR"/>
        </w:rPr>
        <w:t xml:space="preserve"> </w:t>
      </w:r>
      <w:r w:rsidRPr="0028496B">
        <w:rPr>
          <w:rFonts w:ascii="Traditional Arabic" w:hAnsi="Traditional Arabic" w:cs="Abz-2 (Badr)" w:hint="cs"/>
          <w:color w:val="0070C0"/>
          <w:sz w:val="28"/>
          <w:szCs w:val="28"/>
          <w:rtl/>
          <w:lang w:bidi="fa-IR"/>
        </w:rPr>
        <w:t>قال</w:t>
      </w:r>
      <w:r>
        <w:rPr>
          <w:rFonts w:ascii="Traditional Arabic" w:hAnsi="Traditional Arabic" w:cs="Abz-2 (Badr)" w:hint="cs"/>
          <w:color w:val="0070C0"/>
          <w:sz w:val="28"/>
          <w:szCs w:val="28"/>
          <w:rtl/>
          <w:lang w:bidi="fa-IR"/>
        </w:rPr>
        <w:t>(ص)</w:t>
      </w:r>
      <w:r w:rsidRPr="0028496B">
        <w:rPr>
          <w:rFonts w:ascii="Traditional Arabic" w:hAnsi="Traditional Arabic" w:cs="Abz-2 (Badr)" w:hint="cs"/>
          <w:color w:val="0070C0"/>
          <w:sz w:val="28"/>
          <w:szCs w:val="28"/>
          <w:rtl/>
          <w:lang w:bidi="fa-IR"/>
        </w:rPr>
        <w:t>: «الولد للفراش»</w:t>
      </w:r>
      <w:r>
        <w:rPr>
          <w:rFonts w:ascii="Traditional Arabic" w:hAnsi="Traditional Arabic" w:cs="Abz-2 (Badr)" w:hint="cs"/>
          <w:color w:val="0070C0"/>
          <w:sz w:val="28"/>
          <w:szCs w:val="28"/>
          <w:rtl/>
          <w:lang w:bidi="fa-IR"/>
        </w:rPr>
        <w:t xml:space="preserve">، </w:t>
      </w:r>
      <w:r w:rsidRPr="0028496B">
        <w:rPr>
          <w:rFonts w:ascii="Traditional Arabic" w:hAnsi="Traditional Arabic" w:cs="Abz-2 (Badr)" w:hint="cs"/>
          <w:color w:val="0070C0"/>
          <w:sz w:val="28"/>
          <w:szCs w:val="28"/>
          <w:rtl/>
          <w:lang w:bidi="fa-IR"/>
        </w:rPr>
        <w:t>فكأن</w:t>
      </w:r>
      <w:r>
        <w:rPr>
          <w:rFonts w:ascii="Traditional Arabic" w:hAnsi="Traditional Arabic" w:cs="Abz-2 (Badr)" w:hint="cs"/>
          <w:color w:val="0070C0"/>
          <w:sz w:val="28"/>
          <w:szCs w:val="28"/>
          <w:rtl/>
          <w:lang w:bidi="fa-IR"/>
        </w:rPr>
        <w:t>ّ</w:t>
      </w:r>
      <w:r w:rsidRPr="0028496B">
        <w:rPr>
          <w:rFonts w:ascii="Traditional Arabic" w:hAnsi="Traditional Arabic" w:cs="Abz-2 (Badr)" w:hint="cs"/>
          <w:color w:val="0070C0"/>
          <w:sz w:val="28"/>
          <w:szCs w:val="28"/>
          <w:rtl/>
          <w:lang w:bidi="fa-IR"/>
        </w:rPr>
        <w:t>ه قال: إذا ولدت المرأة الولد للرجل وعلى فراشه، وجب عليه رعاية مصالحه، فهذا تنبيه على أن</w:t>
      </w:r>
      <w:r>
        <w:rPr>
          <w:rFonts w:ascii="Traditional Arabic" w:hAnsi="Traditional Arabic" w:cs="Abz-2 (Badr)" w:hint="cs"/>
          <w:color w:val="0070C0"/>
          <w:sz w:val="28"/>
          <w:szCs w:val="28"/>
          <w:rtl/>
          <w:lang w:bidi="fa-IR"/>
        </w:rPr>
        <w:t>ّ</w:t>
      </w:r>
      <w:r w:rsidRPr="0028496B">
        <w:rPr>
          <w:rFonts w:ascii="Traditional Arabic" w:hAnsi="Traditional Arabic" w:cs="Abz-2 (Badr)" w:hint="cs"/>
          <w:color w:val="0070C0"/>
          <w:sz w:val="28"/>
          <w:szCs w:val="28"/>
          <w:rtl/>
          <w:lang w:bidi="fa-IR"/>
        </w:rPr>
        <w:t xml:space="preserve"> سبب النسب واللحاق مجر</w:t>
      </w:r>
      <w:r>
        <w:rPr>
          <w:rFonts w:ascii="Traditional Arabic" w:hAnsi="Traditional Arabic" w:cs="Abz-2 (Badr)" w:hint="cs"/>
          <w:color w:val="0070C0"/>
          <w:sz w:val="28"/>
          <w:szCs w:val="28"/>
          <w:rtl/>
          <w:lang w:bidi="fa-IR"/>
        </w:rPr>
        <w:t>ّ</w:t>
      </w:r>
      <w:r w:rsidRPr="0028496B">
        <w:rPr>
          <w:rFonts w:ascii="Traditional Arabic" w:hAnsi="Traditional Arabic" w:cs="Abz-2 (Badr)" w:hint="cs"/>
          <w:color w:val="0070C0"/>
          <w:sz w:val="28"/>
          <w:szCs w:val="28"/>
          <w:rtl/>
          <w:lang w:bidi="fa-IR"/>
        </w:rPr>
        <w:t>د هذا القدر</w:t>
      </w:r>
      <w:r>
        <w:rPr>
          <w:rFonts w:ascii="Traditional Arabic" w:hAnsi="Traditional Arabic" w:cs="Abz-2 (Badr)" w:hint="cs"/>
          <w:color w:val="0070C0"/>
          <w:sz w:val="28"/>
          <w:szCs w:val="28"/>
          <w:rtl/>
          <w:lang w:bidi="fa-IR"/>
        </w:rPr>
        <w:t>.</w:t>
      </w:r>
    </w:p>
    <w:p w14:paraId="1E45A151" w14:textId="5AA6F530" w:rsidR="0028496B" w:rsidRPr="0028496B" w:rsidRDefault="0028496B" w:rsidP="00854EA6">
      <w:pPr>
        <w:widowControl w:val="0"/>
        <w:bidi/>
        <w:spacing w:after="0" w:line="257" w:lineRule="auto"/>
        <w:ind w:firstLine="284"/>
        <w:jc w:val="both"/>
        <w:rPr>
          <w:rFonts w:ascii="Traditional Arabic" w:hAnsi="Traditional Arabic" w:cs="Abz-2 (Badr)"/>
          <w:color w:val="000000" w:themeColor="text1"/>
          <w:sz w:val="28"/>
          <w:szCs w:val="28"/>
          <w:rtl/>
          <w:lang w:bidi="fa-IR"/>
        </w:rPr>
      </w:pPr>
      <w:r w:rsidRPr="0028496B">
        <w:rPr>
          <w:rFonts w:ascii="Traditional Arabic" w:hAnsi="Traditional Arabic" w:cs="Abz-2 (Badr)" w:hint="cs"/>
          <w:color w:val="0070C0"/>
          <w:sz w:val="28"/>
          <w:szCs w:val="28"/>
          <w:rtl/>
          <w:lang w:bidi="fa-IR"/>
        </w:rPr>
        <w:t>الثالث: أن</w:t>
      </w:r>
      <w:r>
        <w:rPr>
          <w:rFonts w:ascii="Traditional Arabic" w:hAnsi="Traditional Arabic" w:cs="Abz-2 (Badr)" w:hint="cs"/>
          <w:color w:val="0070C0"/>
          <w:sz w:val="28"/>
          <w:szCs w:val="28"/>
          <w:rtl/>
          <w:lang w:bidi="fa-IR"/>
        </w:rPr>
        <w:t>ّ</w:t>
      </w:r>
      <w:r w:rsidRPr="0028496B">
        <w:rPr>
          <w:rFonts w:ascii="Traditional Arabic" w:hAnsi="Traditional Arabic" w:cs="Abz-2 (Badr)" w:hint="cs"/>
          <w:color w:val="0070C0"/>
          <w:sz w:val="28"/>
          <w:szCs w:val="28"/>
          <w:rtl/>
          <w:lang w:bidi="fa-IR"/>
        </w:rPr>
        <w:t xml:space="preserve">ه قيل في تفسير قوله: </w:t>
      </w:r>
      <w:r w:rsidRPr="0028496B">
        <w:rPr>
          <w:rFonts w:ascii="Traditional Arabic" w:hAnsi="Traditional Arabic" w:cs="QuranTaha" w:hint="cs"/>
          <w:color w:val="BF8F00" w:themeColor="accent4" w:themeShade="BF"/>
          <w:sz w:val="26"/>
          <w:szCs w:val="26"/>
          <w:rtl/>
          <w:lang w:bidi="fa-IR"/>
        </w:rPr>
        <w:t>«يَا بْنَ أُمَّ»</w:t>
      </w:r>
      <w:r w:rsidRPr="0028496B">
        <w:rPr>
          <w:rStyle w:val="FootnoteReference"/>
          <w:rFonts w:ascii="Traditional Arabic" w:hAnsi="Traditional Arabic" w:cs="Abz-2 (Badr)"/>
          <w:sz w:val="28"/>
          <w:szCs w:val="28"/>
          <w:rtl/>
          <w:lang w:bidi="fa-IR"/>
        </w:rPr>
        <w:footnoteReference w:id="4"/>
      </w:r>
      <w:r>
        <w:rPr>
          <w:rFonts w:ascii="Traditional Arabic" w:hAnsi="Traditional Arabic" w:cs="Abz-2 (Badr)" w:hint="cs"/>
          <w:color w:val="0070C0"/>
          <w:sz w:val="28"/>
          <w:szCs w:val="28"/>
          <w:rtl/>
          <w:lang w:bidi="fa-IR"/>
        </w:rPr>
        <w:t xml:space="preserve"> </w:t>
      </w:r>
      <w:r w:rsidRPr="0028496B">
        <w:rPr>
          <w:rFonts w:ascii="Traditional Arabic" w:hAnsi="Traditional Arabic" w:cs="Abz-2 (Badr)" w:hint="cs"/>
          <w:color w:val="0070C0"/>
          <w:sz w:val="28"/>
          <w:szCs w:val="28"/>
          <w:rtl/>
          <w:lang w:bidi="fa-IR"/>
        </w:rPr>
        <w:t>أن</w:t>
      </w:r>
      <w:r>
        <w:rPr>
          <w:rFonts w:ascii="Traditional Arabic" w:hAnsi="Traditional Arabic" w:cs="Abz-2 (Badr)" w:hint="cs"/>
          <w:color w:val="0070C0"/>
          <w:sz w:val="28"/>
          <w:szCs w:val="28"/>
          <w:rtl/>
          <w:lang w:bidi="fa-IR"/>
        </w:rPr>
        <w:t>ّ</w:t>
      </w:r>
      <w:r w:rsidRPr="0028496B">
        <w:rPr>
          <w:rFonts w:ascii="Traditional Arabic" w:hAnsi="Traditional Arabic" w:cs="Abz-2 (Badr)" w:hint="cs"/>
          <w:color w:val="0070C0"/>
          <w:sz w:val="28"/>
          <w:szCs w:val="28"/>
          <w:rtl/>
          <w:lang w:bidi="fa-IR"/>
        </w:rPr>
        <w:t xml:space="preserve"> المراد منه أن</w:t>
      </w:r>
      <w:r>
        <w:rPr>
          <w:rFonts w:ascii="Traditional Arabic" w:hAnsi="Traditional Arabic" w:cs="Abz-2 (Badr)" w:hint="cs"/>
          <w:color w:val="0070C0"/>
          <w:sz w:val="28"/>
          <w:szCs w:val="28"/>
          <w:rtl/>
          <w:lang w:bidi="fa-IR"/>
        </w:rPr>
        <w:t>ّ</w:t>
      </w:r>
      <w:r w:rsidRPr="0028496B">
        <w:rPr>
          <w:rFonts w:ascii="Traditional Arabic" w:hAnsi="Traditional Arabic" w:cs="Abz-2 (Badr)" w:hint="cs"/>
          <w:color w:val="0070C0"/>
          <w:sz w:val="28"/>
          <w:szCs w:val="28"/>
          <w:rtl/>
          <w:lang w:bidi="fa-IR"/>
        </w:rPr>
        <w:t xml:space="preserve"> الأ</w:t>
      </w:r>
      <w:r>
        <w:rPr>
          <w:rFonts w:ascii="Traditional Arabic" w:hAnsi="Traditional Arabic" w:cs="Abz-2 (Badr)" w:hint="cs"/>
          <w:color w:val="0070C0"/>
          <w:sz w:val="28"/>
          <w:szCs w:val="28"/>
          <w:rtl/>
          <w:lang w:bidi="fa-IR"/>
        </w:rPr>
        <w:t>ُ</w:t>
      </w:r>
      <w:r w:rsidRPr="0028496B">
        <w:rPr>
          <w:rFonts w:ascii="Traditional Arabic" w:hAnsi="Traditional Arabic" w:cs="Abz-2 (Badr)" w:hint="cs"/>
          <w:color w:val="0070C0"/>
          <w:sz w:val="28"/>
          <w:szCs w:val="28"/>
          <w:rtl/>
          <w:lang w:bidi="fa-IR"/>
        </w:rPr>
        <w:t>م</w:t>
      </w:r>
      <w:r>
        <w:rPr>
          <w:rFonts w:ascii="Traditional Arabic" w:hAnsi="Traditional Arabic" w:cs="Abz-2 (Badr)" w:hint="cs"/>
          <w:color w:val="0070C0"/>
          <w:sz w:val="28"/>
          <w:szCs w:val="28"/>
          <w:rtl/>
          <w:lang w:bidi="fa-IR"/>
        </w:rPr>
        <w:t>ّ</w:t>
      </w:r>
      <w:r w:rsidRPr="0028496B">
        <w:rPr>
          <w:rFonts w:ascii="Traditional Arabic" w:hAnsi="Traditional Arabic" w:cs="Abz-2 (Badr)" w:hint="cs"/>
          <w:color w:val="0070C0"/>
          <w:sz w:val="28"/>
          <w:szCs w:val="28"/>
          <w:rtl/>
          <w:lang w:bidi="fa-IR"/>
        </w:rPr>
        <w:t xml:space="preserve"> مشفقة على الولد، فكان الغرض من ذكر الأ</w:t>
      </w:r>
      <w:r>
        <w:rPr>
          <w:rFonts w:ascii="Traditional Arabic" w:hAnsi="Traditional Arabic" w:cs="Abz-2 (Badr)" w:hint="cs"/>
          <w:color w:val="0070C0"/>
          <w:sz w:val="28"/>
          <w:szCs w:val="28"/>
          <w:rtl/>
          <w:lang w:bidi="fa-IR"/>
        </w:rPr>
        <w:t>ُ</w:t>
      </w:r>
      <w:r w:rsidRPr="0028496B">
        <w:rPr>
          <w:rFonts w:ascii="Traditional Arabic" w:hAnsi="Traditional Arabic" w:cs="Abz-2 (Badr)" w:hint="cs"/>
          <w:color w:val="0070C0"/>
          <w:sz w:val="28"/>
          <w:szCs w:val="28"/>
          <w:rtl/>
          <w:lang w:bidi="fa-IR"/>
        </w:rPr>
        <w:t>م</w:t>
      </w:r>
      <w:r>
        <w:rPr>
          <w:rFonts w:ascii="Traditional Arabic" w:hAnsi="Traditional Arabic" w:cs="Abz-2 (Badr)" w:hint="cs"/>
          <w:color w:val="0070C0"/>
          <w:sz w:val="28"/>
          <w:szCs w:val="28"/>
          <w:rtl/>
          <w:lang w:bidi="fa-IR"/>
        </w:rPr>
        <w:t>ّ</w:t>
      </w:r>
      <w:r w:rsidRPr="0028496B">
        <w:rPr>
          <w:rFonts w:ascii="Traditional Arabic" w:hAnsi="Traditional Arabic" w:cs="Abz-2 (Badr)" w:hint="cs"/>
          <w:color w:val="0070C0"/>
          <w:sz w:val="28"/>
          <w:szCs w:val="28"/>
          <w:rtl/>
          <w:lang w:bidi="fa-IR"/>
        </w:rPr>
        <w:t xml:space="preserve"> تذكير الشفقة، فكذا هاهنا ذكر الوالد بلفظ المولود له تنبيها</w:t>
      </w:r>
      <w:r>
        <w:rPr>
          <w:rFonts w:ascii="Traditional Arabic" w:hAnsi="Traditional Arabic" w:cs="Abz-2 (Badr)" w:hint="cs"/>
          <w:color w:val="0070C0"/>
          <w:sz w:val="28"/>
          <w:szCs w:val="28"/>
          <w:rtl/>
          <w:lang w:bidi="fa-IR"/>
        </w:rPr>
        <w:t>ً</w:t>
      </w:r>
      <w:r w:rsidRPr="0028496B">
        <w:rPr>
          <w:rFonts w:ascii="Traditional Arabic" w:hAnsi="Traditional Arabic" w:cs="Abz-2 (Badr)" w:hint="cs"/>
          <w:color w:val="0070C0"/>
          <w:sz w:val="28"/>
          <w:szCs w:val="28"/>
          <w:rtl/>
          <w:lang w:bidi="fa-IR"/>
        </w:rPr>
        <w:t xml:space="preserve"> على أن</w:t>
      </w:r>
      <w:r>
        <w:rPr>
          <w:rFonts w:ascii="Traditional Arabic" w:hAnsi="Traditional Arabic" w:cs="Abz-2 (Badr)" w:hint="cs"/>
          <w:color w:val="0070C0"/>
          <w:sz w:val="28"/>
          <w:szCs w:val="28"/>
          <w:rtl/>
          <w:lang w:bidi="fa-IR"/>
        </w:rPr>
        <w:t>ّ</w:t>
      </w:r>
      <w:r w:rsidRPr="0028496B">
        <w:rPr>
          <w:rFonts w:ascii="Traditional Arabic" w:hAnsi="Traditional Arabic" w:cs="Abz-2 (Badr)" w:hint="cs"/>
          <w:color w:val="0070C0"/>
          <w:sz w:val="28"/>
          <w:szCs w:val="28"/>
          <w:rtl/>
          <w:lang w:bidi="fa-IR"/>
        </w:rPr>
        <w:t xml:space="preserve"> هذا الولد إن</w:t>
      </w:r>
      <w:r>
        <w:rPr>
          <w:rFonts w:ascii="Traditional Arabic" w:hAnsi="Traditional Arabic" w:cs="Abz-2 (Badr)" w:hint="cs"/>
          <w:color w:val="0070C0"/>
          <w:sz w:val="28"/>
          <w:szCs w:val="28"/>
          <w:rtl/>
          <w:lang w:bidi="fa-IR"/>
        </w:rPr>
        <w:t>ّ</w:t>
      </w:r>
      <w:r w:rsidRPr="0028496B">
        <w:rPr>
          <w:rFonts w:ascii="Traditional Arabic" w:hAnsi="Traditional Arabic" w:cs="Abz-2 (Badr)" w:hint="cs"/>
          <w:color w:val="0070C0"/>
          <w:sz w:val="28"/>
          <w:szCs w:val="28"/>
          <w:rtl/>
          <w:lang w:bidi="fa-IR"/>
        </w:rPr>
        <w:t>ما ولد لأجل الأب، فكان نقصه عائدا</w:t>
      </w:r>
      <w:r>
        <w:rPr>
          <w:rFonts w:ascii="Traditional Arabic" w:hAnsi="Traditional Arabic" w:cs="Abz-2 (Badr)" w:hint="cs"/>
          <w:color w:val="0070C0"/>
          <w:sz w:val="28"/>
          <w:szCs w:val="28"/>
          <w:rtl/>
          <w:lang w:bidi="fa-IR"/>
        </w:rPr>
        <w:t>ً</w:t>
      </w:r>
      <w:r w:rsidRPr="0028496B">
        <w:rPr>
          <w:rFonts w:ascii="Traditional Arabic" w:hAnsi="Traditional Arabic" w:cs="Abz-2 (Badr)" w:hint="cs"/>
          <w:color w:val="0070C0"/>
          <w:sz w:val="28"/>
          <w:szCs w:val="28"/>
          <w:rtl/>
          <w:lang w:bidi="fa-IR"/>
        </w:rPr>
        <w:t xml:space="preserve"> إليه، ورعاية مصالحه لازمة له، كما قيل: كلمة لك وكلمة عليك.</w:t>
      </w:r>
      <w:r>
        <w:rPr>
          <w:rFonts w:ascii="Traditional Arabic" w:hAnsi="Traditional Arabic" w:cs="Abz-2 (Badr)" w:hint="cs"/>
          <w:color w:val="0070C0"/>
          <w:sz w:val="28"/>
          <w:szCs w:val="28"/>
          <w:rtl/>
          <w:lang w:bidi="fa-IR"/>
        </w:rPr>
        <w:t>»</w:t>
      </w:r>
      <w:r w:rsidRPr="0028496B">
        <w:rPr>
          <w:rStyle w:val="FootnoteReference"/>
          <w:rFonts w:ascii="Traditional Arabic" w:hAnsi="Traditional Arabic" w:cs="Abz-2 (Badr)"/>
          <w:sz w:val="28"/>
          <w:szCs w:val="28"/>
          <w:rtl/>
          <w:lang w:bidi="fa-IR"/>
        </w:rPr>
        <w:footnoteReference w:id="5"/>
      </w:r>
    </w:p>
    <w:p w14:paraId="5927D6AE" w14:textId="1726B215" w:rsidR="00B7557E" w:rsidRPr="0028496B" w:rsidRDefault="005F506B" w:rsidP="00854EA6">
      <w:pPr>
        <w:widowControl w:val="0"/>
        <w:bidi/>
        <w:spacing w:after="0"/>
        <w:ind w:firstLine="284"/>
        <w:jc w:val="both"/>
        <w:rPr>
          <w:rFonts w:ascii="Traditional Arabic" w:hAnsi="Traditional Arabic" w:cs="Abz-2 (Badr)"/>
          <w:color w:val="0070C0"/>
          <w:sz w:val="28"/>
          <w:szCs w:val="28"/>
          <w:rtl/>
          <w:lang w:bidi="fa-IR"/>
        </w:rPr>
      </w:pPr>
      <w:r>
        <w:rPr>
          <w:rFonts w:ascii="Traditional Arabic" w:hAnsi="Traditional Arabic" w:cs="Abz-2 (Badr)" w:hint="cs"/>
          <w:color w:val="000000" w:themeColor="text1"/>
          <w:sz w:val="28"/>
          <w:szCs w:val="28"/>
          <w:rtl/>
          <w:lang w:bidi="fa-IR"/>
        </w:rPr>
        <w:t xml:space="preserve">اما </w:t>
      </w:r>
      <w:r w:rsidR="00B7557E">
        <w:rPr>
          <w:rFonts w:ascii="Traditional Arabic" w:hAnsi="Traditional Arabic" w:cs="Abz-2 (Badr)" w:hint="cs"/>
          <w:color w:val="000000" w:themeColor="text1"/>
          <w:sz w:val="28"/>
          <w:szCs w:val="28"/>
          <w:rtl/>
          <w:lang w:bidi="fa-IR"/>
        </w:rPr>
        <w:t xml:space="preserve">علامه طباطبائی فرموده است: </w:t>
      </w:r>
      <w:r w:rsidR="00B7557E" w:rsidRPr="0028496B">
        <w:rPr>
          <w:rFonts w:ascii="Traditional Arabic" w:hAnsi="Traditional Arabic" w:cs="Abz-2 (Badr)" w:hint="cs"/>
          <w:color w:val="0070C0"/>
          <w:sz w:val="28"/>
          <w:szCs w:val="28"/>
          <w:rtl/>
          <w:lang w:bidi="fa-IR"/>
        </w:rPr>
        <w:t>«</w:t>
      </w:r>
      <w:r w:rsidR="00B7557E" w:rsidRPr="00B7557E">
        <w:rPr>
          <w:rFonts w:ascii="Traditional Arabic" w:hAnsi="Traditional Arabic" w:cs="Abz-2 (Badr)" w:hint="cs"/>
          <w:color w:val="0070C0"/>
          <w:sz w:val="28"/>
          <w:szCs w:val="28"/>
          <w:rtl/>
          <w:lang w:bidi="fa-IR"/>
        </w:rPr>
        <w:t>الوالدات هن</w:t>
      </w:r>
      <w:r w:rsidR="00B7557E" w:rsidRPr="0028496B">
        <w:rPr>
          <w:rFonts w:ascii="Traditional Arabic" w:hAnsi="Traditional Arabic" w:cs="Abz-2 (Badr)" w:hint="cs"/>
          <w:color w:val="0070C0"/>
          <w:sz w:val="28"/>
          <w:szCs w:val="28"/>
          <w:rtl/>
          <w:lang w:bidi="fa-IR"/>
        </w:rPr>
        <w:t>ّ</w:t>
      </w:r>
      <w:r w:rsidR="00B7557E" w:rsidRPr="00B7557E">
        <w:rPr>
          <w:rFonts w:ascii="Traditional Arabic" w:hAnsi="Traditional Arabic" w:cs="Abz-2 (Badr)" w:hint="cs"/>
          <w:color w:val="0070C0"/>
          <w:sz w:val="28"/>
          <w:szCs w:val="28"/>
          <w:rtl/>
          <w:lang w:bidi="fa-IR"/>
        </w:rPr>
        <w:t xml:space="preserve"> الأ</w:t>
      </w:r>
      <w:r w:rsidR="00B7557E" w:rsidRPr="0028496B">
        <w:rPr>
          <w:rFonts w:ascii="Traditional Arabic" w:hAnsi="Traditional Arabic" w:cs="Abz-2 (Badr)" w:hint="cs"/>
          <w:color w:val="0070C0"/>
          <w:sz w:val="28"/>
          <w:szCs w:val="28"/>
          <w:rtl/>
          <w:lang w:bidi="fa-IR"/>
        </w:rPr>
        <w:t>ُ</w:t>
      </w:r>
      <w:r w:rsidR="00B7557E" w:rsidRPr="00B7557E">
        <w:rPr>
          <w:rFonts w:ascii="Traditional Arabic" w:hAnsi="Traditional Arabic" w:cs="Abz-2 (Badr)" w:hint="cs"/>
          <w:color w:val="0070C0"/>
          <w:sz w:val="28"/>
          <w:szCs w:val="28"/>
          <w:rtl/>
          <w:lang w:bidi="fa-IR"/>
        </w:rPr>
        <w:t>م</w:t>
      </w:r>
      <w:r w:rsidR="00B7557E" w:rsidRPr="0028496B">
        <w:rPr>
          <w:rFonts w:ascii="Traditional Arabic" w:hAnsi="Traditional Arabic" w:cs="Abz-2 (Badr)" w:hint="cs"/>
          <w:color w:val="0070C0"/>
          <w:sz w:val="28"/>
          <w:szCs w:val="28"/>
          <w:rtl/>
          <w:lang w:bidi="fa-IR"/>
        </w:rPr>
        <w:t>ّ</w:t>
      </w:r>
      <w:r w:rsidR="00B7557E" w:rsidRPr="00B7557E">
        <w:rPr>
          <w:rFonts w:ascii="Traditional Arabic" w:hAnsi="Traditional Arabic" w:cs="Abz-2 (Badr)" w:hint="cs"/>
          <w:color w:val="0070C0"/>
          <w:sz w:val="28"/>
          <w:szCs w:val="28"/>
          <w:rtl/>
          <w:lang w:bidi="fa-IR"/>
        </w:rPr>
        <w:t>هات، وإن</w:t>
      </w:r>
      <w:r w:rsidR="00B7557E" w:rsidRPr="0028496B">
        <w:rPr>
          <w:rFonts w:ascii="Traditional Arabic" w:hAnsi="Traditional Arabic" w:cs="Abz-2 (Badr)" w:hint="cs"/>
          <w:color w:val="0070C0"/>
          <w:sz w:val="28"/>
          <w:szCs w:val="28"/>
          <w:rtl/>
          <w:lang w:bidi="fa-IR"/>
        </w:rPr>
        <w:t>ّ</w:t>
      </w:r>
      <w:r w:rsidR="00B7557E" w:rsidRPr="00B7557E">
        <w:rPr>
          <w:rFonts w:ascii="Traditional Arabic" w:hAnsi="Traditional Arabic" w:cs="Abz-2 (Badr)" w:hint="cs"/>
          <w:color w:val="0070C0"/>
          <w:sz w:val="28"/>
          <w:szCs w:val="28"/>
          <w:rtl/>
          <w:lang w:bidi="fa-IR"/>
        </w:rPr>
        <w:t>ما عدل عن الأ</w:t>
      </w:r>
      <w:r w:rsidR="00B7557E" w:rsidRPr="0028496B">
        <w:rPr>
          <w:rFonts w:ascii="Traditional Arabic" w:hAnsi="Traditional Arabic" w:cs="Abz-2 (Badr)" w:hint="cs"/>
          <w:color w:val="0070C0"/>
          <w:sz w:val="28"/>
          <w:szCs w:val="28"/>
          <w:rtl/>
          <w:lang w:bidi="fa-IR"/>
        </w:rPr>
        <w:t>ُ</w:t>
      </w:r>
      <w:r w:rsidR="00B7557E" w:rsidRPr="00B7557E">
        <w:rPr>
          <w:rFonts w:ascii="Traditional Arabic" w:hAnsi="Traditional Arabic" w:cs="Abz-2 (Badr)" w:hint="cs"/>
          <w:color w:val="0070C0"/>
          <w:sz w:val="28"/>
          <w:szCs w:val="28"/>
          <w:rtl/>
          <w:lang w:bidi="fa-IR"/>
        </w:rPr>
        <w:t>م</w:t>
      </w:r>
      <w:r w:rsidR="00B7557E" w:rsidRPr="0028496B">
        <w:rPr>
          <w:rFonts w:ascii="Traditional Arabic" w:hAnsi="Traditional Arabic" w:cs="Abz-2 (Badr)" w:hint="cs"/>
          <w:color w:val="0070C0"/>
          <w:sz w:val="28"/>
          <w:szCs w:val="28"/>
          <w:rtl/>
          <w:lang w:bidi="fa-IR"/>
        </w:rPr>
        <w:t>ّ</w:t>
      </w:r>
      <w:r w:rsidR="00B7557E" w:rsidRPr="00B7557E">
        <w:rPr>
          <w:rFonts w:ascii="Traditional Arabic" w:hAnsi="Traditional Arabic" w:cs="Abz-2 (Badr)" w:hint="cs"/>
          <w:color w:val="0070C0"/>
          <w:sz w:val="28"/>
          <w:szCs w:val="28"/>
          <w:rtl/>
          <w:lang w:bidi="fa-IR"/>
        </w:rPr>
        <w:t>هات إلى الوالدات لأن</w:t>
      </w:r>
      <w:r w:rsidR="00B7557E" w:rsidRPr="0028496B">
        <w:rPr>
          <w:rFonts w:ascii="Traditional Arabic" w:hAnsi="Traditional Arabic" w:cs="Abz-2 (Badr)" w:hint="cs"/>
          <w:color w:val="0070C0"/>
          <w:sz w:val="28"/>
          <w:szCs w:val="28"/>
          <w:rtl/>
          <w:lang w:bidi="fa-IR"/>
        </w:rPr>
        <w:t>ّ</w:t>
      </w:r>
      <w:r w:rsidR="00B7557E" w:rsidRPr="00B7557E">
        <w:rPr>
          <w:rFonts w:ascii="Traditional Arabic" w:hAnsi="Traditional Arabic" w:cs="Abz-2 (Badr)" w:hint="cs"/>
          <w:color w:val="0070C0"/>
          <w:sz w:val="28"/>
          <w:szCs w:val="28"/>
          <w:rtl/>
          <w:lang w:bidi="fa-IR"/>
        </w:rPr>
        <w:t xml:space="preserve"> الأ</w:t>
      </w:r>
      <w:r w:rsidR="00B7557E" w:rsidRPr="0028496B">
        <w:rPr>
          <w:rFonts w:ascii="Traditional Arabic" w:hAnsi="Traditional Arabic" w:cs="Abz-2 (Badr)" w:hint="cs"/>
          <w:color w:val="0070C0"/>
          <w:sz w:val="28"/>
          <w:szCs w:val="28"/>
          <w:rtl/>
          <w:lang w:bidi="fa-IR"/>
        </w:rPr>
        <w:t>ُ</w:t>
      </w:r>
      <w:r w:rsidR="00B7557E" w:rsidRPr="00B7557E">
        <w:rPr>
          <w:rFonts w:ascii="Traditional Arabic" w:hAnsi="Traditional Arabic" w:cs="Abz-2 (Badr)" w:hint="cs"/>
          <w:color w:val="0070C0"/>
          <w:sz w:val="28"/>
          <w:szCs w:val="28"/>
          <w:rtl/>
          <w:lang w:bidi="fa-IR"/>
        </w:rPr>
        <w:t>م</w:t>
      </w:r>
      <w:r w:rsidR="00B7557E" w:rsidRPr="0028496B">
        <w:rPr>
          <w:rFonts w:ascii="Traditional Arabic" w:hAnsi="Traditional Arabic" w:cs="Abz-2 (Badr)" w:hint="cs"/>
          <w:color w:val="0070C0"/>
          <w:sz w:val="28"/>
          <w:szCs w:val="28"/>
          <w:rtl/>
          <w:lang w:bidi="fa-IR"/>
        </w:rPr>
        <w:t>ّ</w:t>
      </w:r>
      <w:r w:rsidR="00B7557E" w:rsidRPr="00B7557E">
        <w:rPr>
          <w:rFonts w:ascii="Traditional Arabic" w:hAnsi="Traditional Arabic" w:cs="Abz-2 (Badr)" w:hint="cs"/>
          <w:color w:val="0070C0"/>
          <w:sz w:val="28"/>
          <w:szCs w:val="28"/>
          <w:rtl/>
          <w:lang w:bidi="fa-IR"/>
        </w:rPr>
        <w:t xml:space="preserve"> أعم</w:t>
      </w:r>
      <w:r w:rsidR="00B7557E" w:rsidRPr="0028496B">
        <w:rPr>
          <w:rFonts w:ascii="Traditional Arabic" w:hAnsi="Traditional Arabic" w:cs="Abz-2 (Badr)" w:hint="cs"/>
          <w:color w:val="0070C0"/>
          <w:sz w:val="28"/>
          <w:szCs w:val="28"/>
          <w:rtl/>
          <w:lang w:bidi="fa-IR"/>
        </w:rPr>
        <w:t>ّ</w:t>
      </w:r>
      <w:r w:rsidR="00B7557E" w:rsidRPr="00B7557E">
        <w:rPr>
          <w:rFonts w:ascii="Traditional Arabic" w:hAnsi="Traditional Arabic" w:cs="Abz-2 (Badr)" w:hint="cs"/>
          <w:color w:val="0070C0"/>
          <w:sz w:val="28"/>
          <w:szCs w:val="28"/>
          <w:rtl/>
          <w:lang w:bidi="fa-IR"/>
        </w:rPr>
        <w:t xml:space="preserve"> من الوالدة</w:t>
      </w:r>
      <w:r w:rsidR="00B7557E" w:rsidRPr="0028496B">
        <w:rPr>
          <w:rFonts w:ascii="Traditional Arabic" w:hAnsi="Traditional Arabic" w:cs="Abz-2 (Badr)" w:hint="cs"/>
          <w:color w:val="0070C0"/>
          <w:sz w:val="28"/>
          <w:szCs w:val="28"/>
          <w:rtl/>
          <w:lang w:bidi="fa-IR"/>
        </w:rPr>
        <w:t>،</w:t>
      </w:r>
      <w:r w:rsidR="00B7557E" w:rsidRPr="00B7557E">
        <w:rPr>
          <w:rFonts w:ascii="Traditional Arabic" w:hAnsi="Traditional Arabic" w:cs="Abz-2 (Badr)" w:hint="cs"/>
          <w:color w:val="0070C0"/>
          <w:sz w:val="28"/>
          <w:szCs w:val="28"/>
          <w:rtl/>
          <w:lang w:bidi="fa-IR"/>
        </w:rPr>
        <w:t xml:space="preserve"> كما أن</w:t>
      </w:r>
      <w:r w:rsidR="00B7557E" w:rsidRPr="0028496B">
        <w:rPr>
          <w:rFonts w:ascii="Traditional Arabic" w:hAnsi="Traditional Arabic" w:cs="Abz-2 (Badr)" w:hint="cs"/>
          <w:color w:val="0070C0"/>
          <w:sz w:val="28"/>
          <w:szCs w:val="28"/>
          <w:rtl/>
          <w:lang w:bidi="fa-IR"/>
        </w:rPr>
        <w:t>ّ</w:t>
      </w:r>
      <w:r w:rsidR="00B7557E" w:rsidRPr="00B7557E">
        <w:rPr>
          <w:rFonts w:ascii="Traditional Arabic" w:hAnsi="Traditional Arabic" w:cs="Abz-2 (Badr)" w:hint="cs"/>
          <w:color w:val="0070C0"/>
          <w:sz w:val="28"/>
          <w:szCs w:val="28"/>
          <w:rtl/>
          <w:lang w:bidi="fa-IR"/>
        </w:rPr>
        <w:t xml:space="preserve"> الأب أعم</w:t>
      </w:r>
      <w:r w:rsidR="00B7557E" w:rsidRPr="0028496B">
        <w:rPr>
          <w:rFonts w:ascii="Traditional Arabic" w:hAnsi="Traditional Arabic" w:cs="Abz-2 (Badr)" w:hint="cs"/>
          <w:color w:val="0070C0"/>
          <w:sz w:val="28"/>
          <w:szCs w:val="28"/>
          <w:rtl/>
          <w:lang w:bidi="fa-IR"/>
        </w:rPr>
        <w:t>ّ</w:t>
      </w:r>
      <w:r w:rsidR="00B7557E" w:rsidRPr="00B7557E">
        <w:rPr>
          <w:rFonts w:ascii="Traditional Arabic" w:hAnsi="Traditional Arabic" w:cs="Abz-2 (Badr)" w:hint="cs"/>
          <w:color w:val="0070C0"/>
          <w:sz w:val="28"/>
          <w:szCs w:val="28"/>
          <w:rtl/>
          <w:lang w:bidi="fa-IR"/>
        </w:rPr>
        <w:t xml:space="preserve"> من الوالد والابن أعم</w:t>
      </w:r>
      <w:r w:rsidR="00B7557E" w:rsidRPr="0028496B">
        <w:rPr>
          <w:rFonts w:ascii="Traditional Arabic" w:hAnsi="Traditional Arabic" w:cs="Abz-2 (Badr)" w:hint="cs"/>
          <w:color w:val="0070C0"/>
          <w:sz w:val="28"/>
          <w:szCs w:val="28"/>
          <w:rtl/>
          <w:lang w:bidi="fa-IR"/>
        </w:rPr>
        <w:t>ّ</w:t>
      </w:r>
      <w:r w:rsidR="00B7557E" w:rsidRPr="00B7557E">
        <w:rPr>
          <w:rFonts w:ascii="Traditional Arabic" w:hAnsi="Traditional Arabic" w:cs="Abz-2 (Badr)" w:hint="cs"/>
          <w:color w:val="0070C0"/>
          <w:sz w:val="28"/>
          <w:szCs w:val="28"/>
          <w:rtl/>
          <w:lang w:bidi="fa-IR"/>
        </w:rPr>
        <w:t xml:space="preserve"> من الولد، والحكم في الآية مشروع في خصوص مورد الوالدة والولد والمولود له</w:t>
      </w:r>
      <w:r w:rsidR="00B7557E" w:rsidRPr="0028496B">
        <w:rPr>
          <w:rFonts w:ascii="Traditional Arabic" w:hAnsi="Traditional Arabic" w:cs="Abz-2 (Badr)" w:hint="cs"/>
          <w:color w:val="0070C0"/>
          <w:sz w:val="28"/>
          <w:szCs w:val="28"/>
          <w:rtl/>
          <w:lang w:bidi="fa-IR"/>
        </w:rPr>
        <w:t>.</w:t>
      </w:r>
    </w:p>
    <w:p w14:paraId="37E347D1" w14:textId="09BA4665" w:rsidR="00B7557E" w:rsidRPr="00B7557E" w:rsidRDefault="00B7557E" w:rsidP="00854EA6">
      <w:pPr>
        <w:widowControl w:val="0"/>
        <w:bidi/>
        <w:spacing w:after="0"/>
        <w:ind w:firstLine="284"/>
        <w:jc w:val="both"/>
        <w:rPr>
          <w:rFonts w:ascii="Traditional Arabic" w:hAnsi="Traditional Arabic" w:cs="Abz-2 (Badr)"/>
          <w:color w:val="0070C0"/>
          <w:sz w:val="28"/>
          <w:szCs w:val="28"/>
          <w:rtl/>
          <w:lang w:bidi="fa-IR"/>
        </w:rPr>
      </w:pPr>
      <w:r w:rsidRPr="00B7557E">
        <w:rPr>
          <w:rFonts w:ascii="Traditional Arabic" w:hAnsi="Traditional Arabic" w:cs="Abz-2 (Badr)" w:hint="cs"/>
          <w:color w:val="0070C0"/>
          <w:sz w:val="28"/>
          <w:szCs w:val="28"/>
          <w:rtl/>
          <w:lang w:bidi="fa-IR"/>
        </w:rPr>
        <w:t>وأم</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ا تبديل الوالد بالمولود له، ففيه إشارة إلى حكمة التشريع</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 xml:space="preserve"> فإن</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 xml:space="preserve"> الوالد لم</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ا كان مولودا</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 xml:space="preserve"> للوالد ملحقا</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 xml:space="preserve"> به في معظم أحكام </w:t>
      </w:r>
      <w:r w:rsidRPr="00B7557E">
        <w:rPr>
          <w:rFonts w:ascii="Traditional Arabic" w:hAnsi="Traditional Arabic" w:cs="Abz-2 (Badr)" w:hint="cs"/>
          <w:color w:val="0070C0"/>
          <w:sz w:val="28"/>
          <w:szCs w:val="28"/>
          <w:rtl/>
          <w:lang w:bidi="fa-IR"/>
        </w:rPr>
        <w:lastRenderedPageBreak/>
        <w:t>حياته لا في جميعها</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 xml:space="preserve"> كان عليه أن يقوم بمصالح حياته ولوازم تربيته، ومنها كسوة أ</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م</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ه التي ترضعه، ونفقتها، وكان على أ</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م</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ه أن لا تضار</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 xml:space="preserve"> والد</w:t>
      </w:r>
      <w:r w:rsidRPr="0028496B">
        <w:rPr>
          <w:rFonts w:ascii="Traditional Arabic" w:hAnsi="Traditional Arabic" w:cs="Abz-2 (Badr)" w:hint="cs"/>
          <w:color w:val="0070C0"/>
          <w:sz w:val="28"/>
          <w:szCs w:val="28"/>
          <w:rtl/>
          <w:lang w:bidi="fa-IR"/>
        </w:rPr>
        <w:t>ه،</w:t>
      </w:r>
      <w:r w:rsidRPr="00B7557E">
        <w:rPr>
          <w:rFonts w:ascii="Traditional Arabic" w:hAnsi="Traditional Arabic" w:cs="Abz-2 (Badr)" w:hint="cs"/>
          <w:color w:val="0070C0"/>
          <w:sz w:val="28"/>
          <w:szCs w:val="28"/>
          <w:rtl/>
          <w:lang w:bidi="fa-IR"/>
        </w:rPr>
        <w:t xml:space="preserve"> لأن</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 xml:space="preserve"> الولد مولود له.</w:t>
      </w:r>
    </w:p>
    <w:p w14:paraId="38FCBA93" w14:textId="3895886B" w:rsidR="00B7557E" w:rsidRPr="0028496B" w:rsidRDefault="00B7557E" w:rsidP="00854EA6">
      <w:pPr>
        <w:widowControl w:val="0"/>
        <w:bidi/>
        <w:spacing w:after="0"/>
        <w:ind w:firstLine="284"/>
        <w:jc w:val="both"/>
        <w:rPr>
          <w:rFonts w:ascii="Traditional Arabic" w:hAnsi="Traditional Arabic" w:cs="Abz-2 (Badr)"/>
          <w:color w:val="0070C0"/>
          <w:sz w:val="28"/>
          <w:szCs w:val="28"/>
          <w:rtl/>
          <w:lang w:bidi="fa-IR"/>
        </w:rPr>
      </w:pPr>
      <w:r w:rsidRPr="00B7557E">
        <w:rPr>
          <w:rFonts w:ascii="Traditional Arabic" w:hAnsi="Traditional Arabic" w:cs="Abz-2 (Badr)" w:hint="cs"/>
          <w:color w:val="0070C0"/>
          <w:sz w:val="28"/>
          <w:szCs w:val="28"/>
          <w:rtl/>
          <w:lang w:bidi="fa-IR"/>
        </w:rPr>
        <w:t>ومن أعجب الكلام ما ذكر بعض المفس</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رين أن</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ه إن</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 xml:space="preserve">ما قيل: </w:t>
      </w:r>
      <w:r w:rsidR="0028496B" w:rsidRPr="0028496B">
        <w:rPr>
          <w:rFonts w:ascii="Traditional Arabic" w:hAnsi="Traditional Arabic" w:cs="QuranTaha" w:hint="cs"/>
          <w:color w:val="BF8F00" w:themeColor="accent4" w:themeShade="BF"/>
          <w:sz w:val="26"/>
          <w:szCs w:val="26"/>
          <w:rtl/>
          <w:lang w:bidi="fa-IR"/>
        </w:rPr>
        <w:t>«الْمَوْلُودِ لَهُ»</w:t>
      </w:r>
      <w:r w:rsidRPr="00B7557E">
        <w:rPr>
          <w:rFonts w:ascii="Traditional Arabic" w:hAnsi="Traditional Arabic" w:cs="Abz-2 (Badr)" w:hint="cs"/>
          <w:color w:val="0070C0"/>
          <w:sz w:val="28"/>
          <w:szCs w:val="28"/>
          <w:rtl/>
          <w:lang w:bidi="fa-IR"/>
        </w:rPr>
        <w:t xml:space="preserve"> دون </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الوالد</w:t>
      </w:r>
      <w:r w:rsidRPr="0028496B">
        <w:rPr>
          <w:rFonts w:ascii="Traditional Arabic" w:hAnsi="Traditional Arabic" w:cs="Abz-2 (Badr)" w:hint="cs"/>
          <w:color w:val="0070C0"/>
          <w:sz w:val="28"/>
          <w:szCs w:val="28"/>
          <w:rtl/>
          <w:lang w:bidi="fa-IR"/>
        </w:rPr>
        <w:t xml:space="preserve">» </w:t>
      </w:r>
      <w:r w:rsidRPr="00B7557E">
        <w:rPr>
          <w:rFonts w:ascii="Traditional Arabic" w:hAnsi="Traditional Arabic" w:cs="Abz-2 (Badr)" w:hint="cs"/>
          <w:color w:val="0070C0"/>
          <w:sz w:val="28"/>
          <w:szCs w:val="28"/>
          <w:rtl/>
          <w:lang w:bidi="fa-IR"/>
        </w:rPr>
        <w:t>ليعلم أن</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 xml:space="preserve"> الوالدات إن</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ما ولدن لهن</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 xml:space="preserve"> لأن</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 xml:space="preserve"> الأولاد للآباء</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 xml:space="preserve"> ولذلك ينسبون إليهم لا إلى الأ</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م</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هات</w:t>
      </w:r>
      <w:r w:rsidRPr="0028496B">
        <w:rPr>
          <w:rFonts w:ascii="Traditional Arabic" w:hAnsi="Traditional Arabic" w:cs="Abz-2 (Badr)" w:hint="cs"/>
          <w:color w:val="0070C0"/>
          <w:sz w:val="28"/>
          <w:szCs w:val="28"/>
          <w:rtl/>
          <w:lang w:bidi="fa-IR"/>
        </w:rPr>
        <w:t xml:space="preserve">... </w:t>
      </w:r>
      <w:r w:rsidRPr="00B7557E">
        <w:rPr>
          <w:rFonts w:ascii="Traditional Arabic" w:hAnsi="Traditional Arabic" w:cs="Abz-2 (Badr)" w:hint="cs"/>
          <w:color w:val="0070C0"/>
          <w:sz w:val="28"/>
          <w:szCs w:val="28"/>
          <w:rtl/>
          <w:lang w:bidi="fa-IR"/>
        </w:rPr>
        <w:t>وكأن</w:t>
      </w:r>
      <w:r w:rsidRPr="0028496B">
        <w:rPr>
          <w:rFonts w:ascii="Traditional Arabic" w:hAnsi="Traditional Arabic" w:cs="Abz-2 (Badr)" w:hint="cs"/>
          <w:color w:val="0070C0"/>
          <w:sz w:val="28"/>
          <w:szCs w:val="28"/>
          <w:rtl/>
          <w:lang w:bidi="fa-IR"/>
        </w:rPr>
        <w:t>ّ</w:t>
      </w:r>
      <w:r w:rsidRPr="00B7557E">
        <w:rPr>
          <w:rFonts w:ascii="Traditional Arabic" w:hAnsi="Traditional Arabic" w:cs="Abz-2 (Badr)" w:hint="cs"/>
          <w:color w:val="0070C0"/>
          <w:sz w:val="28"/>
          <w:szCs w:val="28"/>
          <w:rtl/>
          <w:lang w:bidi="fa-IR"/>
        </w:rPr>
        <w:t xml:space="preserve">ه ذهل عن صدر الآية وذيلها حيث يقول تعالى: </w:t>
      </w:r>
      <w:r w:rsidRPr="0028496B">
        <w:rPr>
          <w:rFonts w:ascii="Traditional Arabic" w:hAnsi="Traditional Arabic" w:cs="QuranTaha" w:hint="cs"/>
          <w:color w:val="BF8F00" w:themeColor="accent4" w:themeShade="BF"/>
          <w:sz w:val="26"/>
          <w:szCs w:val="26"/>
          <w:rtl/>
          <w:lang w:bidi="fa-IR"/>
        </w:rPr>
        <w:t>«</w:t>
      </w:r>
      <w:r w:rsidRPr="00B7557E">
        <w:rPr>
          <w:rFonts w:ascii="Traditional Arabic" w:hAnsi="Traditional Arabic" w:cs="QuranTaha" w:hint="cs"/>
          <w:color w:val="BF8F00" w:themeColor="accent4" w:themeShade="BF"/>
          <w:sz w:val="26"/>
          <w:szCs w:val="26"/>
          <w:rtl/>
          <w:lang w:bidi="fa-IR"/>
        </w:rPr>
        <w:t>أَوْلادَهُن</w:t>
      </w:r>
      <w:r w:rsidRPr="0028496B">
        <w:rPr>
          <w:rFonts w:ascii="Traditional Arabic" w:hAnsi="Traditional Arabic" w:cs="QuranTaha" w:hint="cs"/>
          <w:color w:val="BF8F00" w:themeColor="accent4" w:themeShade="BF"/>
          <w:sz w:val="26"/>
          <w:szCs w:val="26"/>
          <w:rtl/>
          <w:lang w:bidi="fa-IR"/>
        </w:rPr>
        <w:t>َّ»</w:t>
      </w:r>
      <w:r w:rsidRPr="00B7557E">
        <w:rPr>
          <w:rFonts w:ascii="Traditional Arabic" w:hAnsi="Traditional Arabic" w:cs="Abz-2 (Badr)" w:hint="cs"/>
          <w:color w:val="0070C0"/>
          <w:sz w:val="28"/>
          <w:szCs w:val="28"/>
          <w:rtl/>
          <w:lang w:bidi="fa-IR"/>
        </w:rPr>
        <w:t xml:space="preserve"> ويقول: </w:t>
      </w:r>
      <w:r w:rsidRPr="0028496B">
        <w:rPr>
          <w:rFonts w:ascii="Traditional Arabic" w:hAnsi="Traditional Arabic" w:cs="QuranTaha" w:hint="cs"/>
          <w:color w:val="BF8F00" w:themeColor="accent4" w:themeShade="BF"/>
          <w:sz w:val="26"/>
          <w:szCs w:val="26"/>
          <w:rtl/>
          <w:lang w:bidi="fa-IR"/>
        </w:rPr>
        <w:t>«</w:t>
      </w:r>
      <w:r w:rsidRPr="00B7557E">
        <w:rPr>
          <w:rFonts w:ascii="Traditional Arabic" w:hAnsi="Traditional Arabic" w:cs="QuranTaha" w:hint="cs"/>
          <w:color w:val="BF8F00" w:themeColor="accent4" w:themeShade="BF"/>
          <w:sz w:val="26"/>
          <w:szCs w:val="26"/>
          <w:rtl/>
          <w:lang w:bidi="fa-IR"/>
        </w:rPr>
        <w:t>بِوَلَدِه</w:t>
      </w:r>
      <w:r w:rsidR="0028496B">
        <w:rPr>
          <w:rFonts w:ascii="Traditional Arabic" w:hAnsi="Traditional Arabic" w:cs="QuranTaha" w:hint="cs"/>
          <w:color w:val="BF8F00" w:themeColor="accent4" w:themeShade="BF"/>
          <w:sz w:val="26"/>
          <w:szCs w:val="26"/>
          <w:rtl/>
          <w:lang w:bidi="fa-IR"/>
        </w:rPr>
        <w:t>َ</w:t>
      </w:r>
      <w:r w:rsidRPr="00B7557E">
        <w:rPr>
          <w:rFonts w:ascii="Traditional Arabic" w:hAnsi="Traditional Arabic" w:cs="QuranTaha" w:hint="cs"/>
          <w:color w:val="BF8F00" w:themeColor="accent4" w:themeShade="BF"/>
          <w:sz w:val="26"/>
          <w:szCs w:val="26"/>
          <w:rtl/>
          <w:lang w:bidi="fa-IR"/>
        </w:rPr>
        <w:t>ا</w:t>
      </w:r>
      <w:r w:rsidRPr="0028496B">
        <w:rPr>
          <w:rFonts w:ascii="Traditional Arabic" w:hAnsi="Traditional Arabic" w:cs="QuranTaha" w:hint="cs"/>
          <w:color w:val="BF8F00" w:themeColor="accent4" w:themeShade="BF"/>
          <w:sz w:val="26"/>
          <w:szCs w:val="26"/>
          <w:rtl/>
          <w:lang w:bidi="fa-IR"/>
        </w:rPr>
        <w:t>»</w:t>
      </w:r>
      <w:r w:rsidRPr="0028496B">
        <w:rPr>
          <w:rFonts w:ascii="Traditional Arabic" w:hAnsi="Traditional Arabic" w:cs="Abz-2 (Badr)" w:hint="cs"/>
          <w:color w:val="0070C0"/>
          <w:sz w:val="28"/>
          <w:szCs w:val="28"/>
          <w:rtl/>
          <w:lang w:bidi="fa-IR"/>
        </w:rPr>
        <w:t>.</w:t>
      </w:r>
    </w:p>
    <w:p w14:paraId="44B160B4" w14:textId="22E81AA8" w:rsidR="0028496B" w:rsidRPr="0028496B" w:rsidRDefault="0028496B" w:rsidP="00854EA6">
      <w:pPr>
        <w:widowControl w:val="0"/>
        <w:bidi/>
        <w:spacing w:after="0"/>
        <w:ind w:firstLine="284"/>
        <w:jc w:val="both"/>
        <w:rPr>
          <w:rFonts w:ascii="Traditional Arabic" w:hAnsi="Traditional Arabic" w:cs="Abz-2 (Badr)"/>
          <w:color w:val="0070C0"/>
          <w:sz w:val="28"/>
          <w:szCs w:val="28"/>
          <w:rtl/>
          <w:lang w:bidi="fa-IR"/>
        </w:rPr>
      </w:pPr>
      <w:r w:rsidRPr="0028496B">
        <w:rPr>
          <w:rFonts w:ascii="Traditional Arabic" w:hAnsi="Traditional Arabic" w:cs="Abz-2 (Badr)" w:hint="cs"/>
          <w:color w:val="0070C0"/>
          <w:sz w:val="28"/>
          <w:szCs w:val="28"/>
          <w:rtl/>
          <w:lang w:bidi="fa-IR"/>
        </w:rPr>
        <w:t>وقد اختلط على كثير من علماء الأدب أمر اللغة وأمر التشريع، حكم الاجتماع وأمر التكوين، فربما استشهدوا باللغة على حكم اجتماعي أو حقيقة تكوينيّة.</w:t>
      </w:r>
    </w:p>
    <w:p w14:paraId="0ECA2D40" w14:textId="6181CA87" w:rsidR="00B7557E" w:rsidRDefault="0028496B" w:rsidP="00854EA6">
      <w:pPr>
        <w:widowControl w:val="0"/>
        <w:bidi/>
        <w:spacing w:after="0"/>
        <w:ind w:firstLine="284"/>
        <w:jc w:val="both"/>
        <w:rPr>
          <w:rFonts w:ascii="Traditional Arabic" w:hAnsi="Traditional Arabic" w:cs="Abz-2 (Badr)"/>
          <w:color w:val="0070C0"/>
          <w:sz w:val="28"/>
          <w:szCs w:val="28"/>
          <w:rtl/>
          <w:lang w:bidi="fa-IR"/>
        </w:rPr>
      </w:pPr>
      <w:r w:rsidRPr="0028496B">
        <w:rPr>
          <w:rFonts w:ascii="Traditional Arabic" w:hAnsi="Traditional Arabic" w:cs="Abz-2 (Badr)" w:hint="cs"/>
          <w:color w:val="0070C0"/>
          <w:sz w:val="28"/>
          <w:szCs w:val="28"/>
          <w:rtl/>
          <w:lang w:bidi="fa-IR"/>
        </w:rPr>
        <w:t xml:space="preserve">وجملة الأمر في الولد أنّ التكوين يلحقه بالوالدين معاً لاستناده في وجوده إليهما معاً، والاعتبار الاجتماعي فيه مختلف بين الأُمم، فبعض الأُمم يلحقه بالوالدة، وبعضهم بالوالد، والآية تقرّر قول هذا البعض وتشير إليه بقوله: </w:t>
      </w:r>
      <w:r w:rsidRPr="0028496B">
        <w:rPr>
          <w:rFonts w:ascii="Traditional Arabic" w:hAnsi="Traditional Arabic" w:cs="QuranTaha" w:hint="cs"/>
          <w:color w:val="BF8F00" w:themeColor="accent4" w:themeShade="BF"/>
          <w:sz w:val="26"/>
          <w:szCs w:val="26"/>
          <w:rtl/>
          <w:lang w:bidi="fa-IR"/>
        </w:rPr>
        <w:t>«الْمَوْلُودِ لَهُ»</w:t>
      </w:r>
      <w:r w:rsidRPr="0028496B">
        <w:rPr>
          <w:rFonts w:ascii="Traditional Arabic" w:hAnsi="Traditional Arabic" w:cs="Abz-2 (Badr)" w:hint="cs"/>
          <w:color w:val="0070C0"/>
          <w:sz w:val="28"/>
          <w:szCs w:val="28"/>
          <w:rtl/>
          <w:lang w:bidi="fa-IR"/>
        </w:rPr>
        <w:t xml:space="preserve"> كما تقدّم.»</w:t>
      </w:r>
      <w:r w:rsidRPr="0028496B">
        <w:rPr>
          <w:rStyle w:val="FootnoteReference"/>
          <w:rFonts w:ascii="Traditional Arabic" w:hAnsi="Traditional Arabic" w:cs="Abz-2 (Badr)"/>
          <w:sz w:val="28"/>
          <w:szCs w:val="28"/>
          <w:rtl/>
          <w:lang w:bidi="fa-IR"/>
        </w:rPr>
        <w:footnoteReference w:id="6"/>
      </w:r>
    </w:p>
    <w:bookmarkEnd w:id="1"/>
    <w:p w14:paraId="14F93C2E" w14:textId="341E004F" w:rsidR="0028496B" w:rsidRPr="00E67FB2" w:rsidRDefault="00E67FB2" w:rsidP="00854EA6">
      <w:pPr>
        <w:widowControl w:val="0"/>
        <w:bidi/>
        <w:spacing w:after="0"/>
        <w:ind w:firstLine="284"/>
        <w:jc w:val="both"/>
        <w:rPr>
          <w:rFonts w:ascii="Traditional Arabic" w:hAnsi="Traditional Arabic" w:cs="Abz-2 (Badr)"/>
          <w:color w:val="000000" w:themeColor="text1"/>
          <w:sz w:val="28"/>
          <w:szCs w:val="28"/>
          <w:lang w:bidi="fa-IR"/>
        </w:rPr>
      </w:pPr>
      <w:r w:rsidRPr="00E67FB2">
        <w:rPr>
          <w:rFonts w:ascii="Traditional Arabic" w:hAnsi="Traditional Arabic" w:cs="Abz-2 (Badr)" w:hint="cs"/>
          <w:color w:val="000000" w:themeColor="text1"/>
          <w:sz w:val="28"/>
          <w:szCs w:val="28"/>
          <w:rtl/>
          <w:lang w:bidi="fa-IR"/>
        </w:rPr>
        <w:t>ادامه بحث را به جلسه آينده موکول می</w:t>
      </w:r>
      <w:r w:rsidRPr="00E67FB2">
        <w:rPr>
          <w:rFonts w:ascii="Traditional Arabic" w:hAnsi="Traditional Arabic" w:cs="Abz-2 (Badr)"/>
          <w:color w:val="000000" w:themeColor="text1"/>
          <w:sz w:val="28"/>
          <w:szCs w:val="28"/>
          <w:rtl/>
          <w:lang w:bidi="fa-IR"/>
        </w:rPr>
        <w:softHyphen/>
      </w:r>
      <w:r w:rsidRPr="00E67FB2">
        <w:rPr>
          <w:rFonts w:ascii="Traditional Arabic" w:hAnsi="Traditional Arabic" w:cs="Abz-2 (Badr)" w:hint="cs"/>
          <w:color w:val="000000" w:themeColor="text1"/>
          <w:sz w:val="28"/>
          <w:szCs w:val="28"/>
          <w:rtl/>
          <w:lang w:bidi="fa-IR"/>
        </w:rPr>
        <w:t>کنيم.</w:t>
      </w:r>
    </w:p>
    <w:sectPr w:rsidR="0028496B" w:rsidRPr="00E67FB2" w:rsidSect="00635348">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5D2DC" w14:textId="77777777" w:rsidR="00636853" w:rsidRDefault="00636853" w:rsidP="00F71127">
      <w:pPr>
        <w:spacing w:after="0" w:line="240" w:lineRule="auto"/>
      </w:pPr>
      <w:r>
        <w:separator/>
      </w:r>
    </w:p>
  </w:endnote>
  <w:endnote w:type="continuationSeparator" w:id="0">
    <w:p w14:paraId="7F527E68" w14:textId="77777777" w:rsidR="00636853" w:rsidRDefault="00636853"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0EEB9" w14:textId="77777777" w:rsidR="00635348" w:rsidRDefault="006353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36364" w14:textId="77777777" w:rsidR="00635348" w:rsidRDefault="006353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B6DA8" w14:textId="77777777" w:rsidR="00636853" w:rsidRDefault="00636853" w:rsidP="00EE25C0">
      <w:pPr>
        <w:bidi/>
        <w:spacing w:after="0" w:line="240" w:lineRule="auto"/>
      </w:pPr>
      <w:r>
        <w:separator/>
      </w:r>
    </w:p>
  </w:footnote>
  <w:footnote w:type="continuationSeparator" w:id="0">
    <w:p w14:paraId="532492C4" w14:textId="77777777" w:rsidR="00636853" w:rsidRDefault="00636853" w:rsidP="00F71127">
      <w:pPr>
        <w:bidi/>
        <w:spacing w:after="0" w:line="240" w:lineRule="auto"/>
      </w:pPr>
      <w:r>
        <w:continuationSeparator/>
      </w:r>
    </w:p>
  </w:footnote>
  <w:footnote w:id="1">
    <w:p w14:paraId="546392EB" w14:textId="5FD04533" w:rsidR="009D5845" w:rsidRPr="0028496B" w:rsidRDefault="009D5845" w:rsidP="009D5845">
      <w:pPr>
        <w:pStyle w:val="FootnoteText"/>
        <w:bidi/>
        <w:jc w:val="both"/>
        <w:rPr>
          <w:rFonts w:cs="Abz-2 (Badr)"/>
          <w:rtl/>
          <w:lang w:bidi="fa-IR"/>
        </w:rPr>
      </w:pPr>
      <w:r w:rsidRPr="0028496B">
        <w:rPr>
          <w:rStyle w:val="FootnoteReference"/>
          <w:rFonts w:cs="Abz-2 (Badr)"/>
          <w:vertAlign w:val="baseline"/>
        </w:rPr>
        <w:footnoteRef/>
      </w:r>
      <w:r w:rsidRPr="0028496B">
        <w:rPr>
          <w:rFonts w:cs="Abz-2 (Badr)"/>
        </w:rPr>
        <w:t xml:space="preserve"> </w:t>
      </w:r>
      <w:r>
        <w:rPr>
          <w:rFonts w:cs="Abz-2 (Badr)" w:hint="cs"/>
          <w:rtl/>
        </w:rPr>
        <w:t>ـ کافی،ج6،ص103،ح3 ـ وسائل،ج21،ص472،ح27615.</w:t>
      </w:r>
    </w:p>
  </w:footnote>
  <w:footnote w:id="2">
    <w:p w14:paraId="46FFF8BB" w14:textId="2D8680C7" w:rsidR="00E5774B" w:rsidRPr="0028496B" w:rsidRDefault="00E5774B" w:rsidP="00E5774B">
      <w:pPr>
        <w:pStyle w:val="FootnoteText"/>
        <w:bidi/>
        <w:jc w:val="both"/>
        <w:rPr>
          <w:rFonts w:cs="Abz-2 (Badr)"/>
          <w:rtl/>
          <w:lang w:bidi="fa-IR"/>
        </w:rPr>
      </w:pPr>
      <w:r w:rsidRPr="0028496B">
        <w:rPr>
          <w:rStyle w:val="FootnoteReference"/>
          <w:rFonts w:cs="Abz-2 (Badr)"/>
          <w:vertAlign w:val="baseline"/>
        </w:rPr>
        <w:footnoteRef/>
      </w:r>
      <w:r w:rsidRPr="0028496B">
        <w:rPr>
          <w:rFonts w:cs="Abz-2 (Badr)"/>
        </w:rPr>
        <w:t xml:space="preserve"> </w:t>
      </w:r>
      <w:r>
        <w:rPr>
          <w:rFonts w:cs="Abz-2 (Badr)" w:hint="cs"/>
          <w:rtl/>
        </w:rPr>
        <w:t>ـ لقمان(31):33.</w:t>
      </w:r>
    </w:p>
  </w:footnote>
  <w:footnote w:id="3">
    <w:p w14:paraId="4ADBA512" w14:textId="3E1A43F9" w:rsidR="00E5774B" w:rsidRPr="0028496B" w:rsidRDefault="00E5774B" w:rsidP="00E5774B">
      <w:pPr>
        <w:pStyle w:val="FootnoteText"/>
        <w:bidi/>
        <w:jc w:val="both"/>
        <w:rPr>
          <w:rFonts w:cs="Abz-2 (Badr)"/>
          <w:rtl/>
          <w:lang w:bidi="fa-IR"/>
        </w:rPr>
      </w:pPr>
      <w:r w:rsidRPr="0028496B">
        <w:rPr>
          <w:rStyle w:val="FootnoteReference"/>
          <w:rFonts w:cs="Abz-2 (Badr)"/>
          <w:vertAlign w:val="baseline"/>
        </w:rPr>
        <w:footnoteRef/>
      </w:r>
      <w:r w:rsidRPr="0028496B">
        <w:rPr>
          <w:rFonts w:cs="Abz-2 (Badr)"/>
        </w:rPr>
        <w:t xml:space="preserve"> </w:t>
      </w:r>
      <w:r>
        <w:rPr>
          <w:rFonts w:cs="Abz-2 (Badr)" w:hint="cs"/>
          <w:rtl/>
        </w:rPr>
        <w:t>ـ کشّاف،ج1،ص279.</w:t>
      </w:r>
    </w:p>
  </w:footnote>
  <w:footnote w:id="4">
    <w:p w14:paraId="521929DF" w14:textId="022068B9" w:rsidR="0028496B" w:rsidRPr="0028496B" w:rsidRDefault="0028496B" w:rsidP="0028496B">
      <w:pPr>
        <w:pStyle w:val="FootnoteText"/>
        <w:bidi/>
        <w:jc w:val="both"/>
        <w:rPr>
          <w:rFonts w:cs="Abz-2 (Badr)"/>
          <w:rtl/>
          <w:lang w:bidi="fa-IR"/>
        </w:rPr>
      </w:pPr>
      <w:r w:rsidRPr="0028496B">
        <w:rPr>
          <w:rStyle w:val="FootnoteReference"/>
          <w:rFonts w:cs="Abz-2 (Badr)"/>
          <w:vertAlign w:val="baseline"/>
        </w:rPr>
        <w:footnoteRef/>
      </w:r>
      <w:r w:rsidRPr="0028496B">
        <w:rPr>
          <w:rFonts w:cs="Abz-2 (Badr)"/>
        </w:rPr>
        <w:t xml:space="preserve"> </w:t>
      </w:r>
      <w:r>
        <w:rPr>
          <w:rFonts w:cs="Abz-2 (Badr)" w:hint="cs"/>
          <w:rtl/>
        </w:rPr>
        <w:t xml:space="preserve">ـ </w:t>
      </w:r>
      <w:r w:rsidR="008D3421">
        <w:rPr>
          <w:rFonts w:cs="Abz-2 (Badr)" w:hint="cs"/>
          <w:rtl/>
        </w:rPr>
        <w:t>طه(20):94</w:t>
      </w:r>
      <w:r>
        <w:rPr>
          <w:rFonts w:cs="Abz-2 (Badr)" w:hint="cs"/>
          <w:rtl/>
        </w:rPr>
        <w:t>.</w:t>
      </w:r>
    </w:p>
  </w:footnote>
  <w:footnote w:id="5">
    <w:p w14:paraId="17F358B6" w14:textId="068FE5E4" w:rsidR="0028496B" w:rsidRPr="0028496B" w:rsidRDefault="0028496B" w:rsidP="0028496B">
      <w:pPr>
        <w:pStyle w:val="FootnoteText"/>
        <w:bidi/>
        <w:jc w:val="both"/>
        <w:rPr>
          <w:rFonts w:cs="Abz-2 (Badr)"/>
          <w:rtl/>
          <w:lang w:bidi="fa-IR"/>
        </w:rPr>
      </w:pPr>
      <w:r w:rsidRPr="0028496B">
        <w:rPr>
          <w:rStyle w:val="FootnoteReference"/>
          <w:rFonts w:cs="Abz-2 (Badr)"/>
          <w:vertAlign w:val="baseline"/>
        </w:rPr>
        <w:footnoteRef/>
      </w:r>
      <w:r w:rsidRPr="0028496B">
        <w:rPr>
          <w:rFonts w:cs="Abz-2 (Badr)"/>
        </w:rPr>
        <w:t xml:space="preserve"> </w:t>
      </w:r>
      <w:r>
        <w:rPr>
          <w:rFonts w:cs="Abz-2 (Badr)" w:hint="cs"/>
          <w:rtl/>
        </w:rPr>
        <w:t>ـ مفاتيح الغيب،ج</w:t>
      </w:r>
      <w:r w:rsidR="008D3421">
        <w:rPr>
          <w:rFonts w:cs="Abz-2 (Badr)" w:hint="cs"/>
          <w:rtl/>
        </w:rPr>
        <w:t>6</w:t>
      </w:r>
      <w:r>
        <w:rPr>
          <w:rFonts w:cs="Abz-2 (Badr)" w:hint="cs"/>
          <w:rtl/>
        </w:rPr>
        <w:t>،ص</w:t>
      </w:r>
      <w:r w:rsidR="008D3421">
        <w:rPr>
          <w:rFonts w:cs="Abz-2 (Badr)" w:hint="cs"/>
          <w:rtl/>
        </w:rPr>
        <w:t>460</w:t>
      </w:r>
      <w:r>
        <w:rPr>
          <w:rFonts w:cs="Abz-2 (Badr)" w:hint="cs"/>
          <w:rtl/>
        </w:rPr>
        <w:t xml:space="preserve"> و </w:t>
      </w:r>
      <w:r w:rsidR="008D3421">
        <w:rPr>
          <w:rFonts w:cs="Abz-2 (Badr)" w:hint="cs"/>
          <w:rtl/>
        </w:rPr>
        <w:t>461</w:t>
      </w:r>
      <w:r>
        <w:rPr>
          <w:rFonts w:cs="Abz-2 (Badr)" w:hint="cs"/>
          <w:rtl/>
        </w:rPr>
        <w:t>.</w:t>
      </w:r>
    </w:p>
  </w:footnote>
  <w:footnote w:id="6">
    <w:p w14:paraId="4B437BD4" w14:textId="20439C1F" w:rsidR="0028496B" w:rsidRPr="0028496B" w:rsidRDefault="0028496B" w:rsidP="0028496B">
      <w:pPr>
        <w:pStyle w:val="FootnoteText"/>
        <w:bidi/>
        <w:jc w:val="both"/>
        <w:rPr>
          <w:rFonts w:cs="Abz-2 (Badr)"/>
          <w:rtl/>
          <w:lang w:bidi="fa-IR"/>
        </w:rPr>
      </w:pPr>
      <w:r w:rsidRPr="0028496B">
        <w:rPr>
          <w:rStyle w:val="FootnoteReference"/>
          <w:rFonts w:cs="Abz-2 (Badr)"/>
          <w:vertAlign w:val="baseline"/>
        </w:rPr>
        <w:footnoteRef/>
      </w:r>
      <w:r w:rsidRPr="0028496B">
        <w:rPr>
          <w:rFonts w:cs="Abz-2 (Badr)"/>
        </w:rPr>
        <w:t xml:space="preserve"> </w:t>
      </w:r>
      <w:r>
        <w:rPr>
          <w:rFonts w:cs="Abz-2 (Badr)" w:hint="cs"/>
          <w:rtl/>
        </w:rPr>
        <w:t>ـ الميزان،ج2،ص239 و 240.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5C80C" w14:textId="77777777" w:rsidR="00635348" w:rsidRDefault="006353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9100" w14:textId="76CED23C" w:rsidR="00635348" w:rsidRDefault="00635348">
    <w:pPr>
      <w:pStyle w:val="Header"/>
    </w:pPr>
    <w:r>
      <w:rPr>
        <w:noProof/>
      </w:rPr>
      <mc:AlternateContent>
        <mc:Choice Requires="wps">
          <w:drawing>
            <wp:anchor distT="45720" distB="45720" distL="114300" distR="114300" simplePos="0" relativeHeight="251661312" behindDoc="0" locked="0" layoutInCell="1" allowOverlap="1" wp14:anchorId="77644DC4" wp14:editId="4B1FC20B">
              <wp:simplePos x="0" y="0"/>
              <wp:positionH relativeFrom="column">
                <wp:posOffset>1966595</wp:posOffset>
              </wp:positionH>
              <wp:positionV relativeFrom="paragraph">
                <wp:posOffset>219075</wp:posOffset>
              </wp:positionV>
              <wp:extent cx="3693795" cy="172402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1724025"/>
                      </a:xfrm>
                      <a:prstGeom prst="rect">
                        <a:avLst/>
                      </a:prstGeom>
                      <a:solidFill>
                        <a:srgbClr val="FFFFFF"/>
                      </a:solidFill>
                      <a:ln w="9525">
                        <a:noFill/>
                        <a:miter lim="800000"/>
                        <a:headEnd/>
                        <a:tailEnd/>
                      </a:ln>
                    </wps:spPr>
                    <wps:txbx>
                      <w:txbxContent>
                        <w:p w14:paraId="6EB21C4D" w14:textId="0C821F56" w:rsidR="00635348" w:rsidRDefault="00635348" w:rsidP="00635348">
                          <w:pPr>
                            <w:bidi/>
                            <w:rPr>
                              <w:rFonts w:cs="B Mehr"/>
                            </w:rPr>
                          </w:pPr>
                          <w:r>
                            <w:rPr>
                              <w:rFonts w:cs="B Mehr" w:hint="cs"/>
                              <w:rtl/>
                            </w:rPr>
                            <w:t>تقریر درس خارج فقه،  استاد حاج سید علی موسوی اردبیلی</w:t>
                          </w:r>
                          <w:r>
                            <w:rPr>
                              <w:rFonts w:cs="B Mehr" w:hint="cs"/>
                            </w:rPr>
                            <w:t xml:space="preserve"> </w:t>
                          </w:r>
                        </w:p>
                        <w:p w14:paraId="41F4B49A" w14:textId="77777777" w:rsidR="00635348" w:rsidRDefault="00635348" w:rsidP="00635348">
                          <w:pPr>
                            <w:jc w:val="right"/>
                            <w:rPr>
                              <w:rFonts w:cs="B Mehr"/>
                            </w:rPr>
                          </w:pPr>
                          <w:r>
                            <w:rPr>
                              <w:rFonts w:cs="B Mehr" w:hint="cs"/>
                              <w:rtl/>
                            </w:rPr>
                            <w:t>مبحث:  نکاح - احکام  اولاد</w:t>
                          </w:r>
                        </w:p>
                        <w:p w14:paraId="63C150E2" w14:textId="45F032AE" w:rsidR="00635348" w:rsidRDefault="00635348" w:rsidP="00635348">
                          <w:pPr>
                            <w:bidi/>
                          </w:pPr>
                          <w:r>
                            <w:rPr>
                              <w:rFonts w:cs="B Mehr" w:hint="cs"/>
                              <w:rtl/>
                            </w:rPr>
                            <w:t xml:space="preserve">تاریخ: </w:t>
                          </w:r>
                          <w:r>
                            <w:rPr>
                              <w:rFonts w:cs="B Mehr" w:hint="cs"/>
                              <w:lang w:bidi="fa-IR"/>
                            </w:rPr>
                            <w:t xml:space="preserve"> </w:t>
                          </w:r>
                          <w:r>
                            <w:rPr>
                              <w:rFonts w:cs="B Mehr" w:hint="cs"/>
                              <w:rtl/>
                              <w:lang w:bidi="fa-IR"/>
                            </w:rPr>
                            <w:t xml:space="preserve">     </w:t>
                          </w:r>
                          <w:r>
                            <w:rPr>
                              <w:rFonts w:cs="B Mehr" w:hint="cs"/>
                              <w:rtl/>
                              <w:lang w:bidi="fa-IR"/>
                            </w:rPr>
                            <w:t xml:space="preserve"> </w:t>
                          </w:r>
                          <w:r>
                            <w:rPr>
                              <w:rFonts w:cs="B Mehr" w:hint="cs"/>
                              <w:rtl/>
                              <w:lang w:bidi="fa-IR"/>
                            </w:rPr>
                            <w:t xml:space="preserve">  شنبه </w:t>
                          </w:r>
                          <w:r>
                            <w:rPr>
                              <w:rFonts w:cs="B Mehr" w:hint="cs"/>
                              <w:rtl/>
                            </w:rPr>
                            <w:t xml:space="preserve">،   </w:t>
                          </w:r>
                          <w:r>
                            <w:rPr>
                              <w:rFonts w:cs="B Mehr" w:hint="cs"/>
                              <w:rtl/>
                            </w:rPr>
                            <w:t>27</w:t>
                          </w:r>
                          <w:r>
                            <w:rPr>
                              <w:rFonts w:cs="B Mehr" w:hint="cs"/>
                              <w:rtl/>
                            </w:rPr>
                            <w:t xml:space="preserve">      بهمن   ماه - 1403ه.ش</w:t>
                          </w:r>
                        </w:p>
                        <w:p w14:paraId="0A48DF3F" w14:textId="77777777" w:rsidR="00635348" w:rsidRDefault="00635348" w:rsidP="00635348"/>
                        <w:p w14:paraId="28A93201" w14:textId="77777777" w:rsidR="00635348" w:rsidRDefault="00635348" w:rsidP="00635348"/>
                        <w:p w14:paraId="7DF01A17" w14:textId="77777777" w:rsidR="00635348" w:rsidRDefault="00635348" w:rsidP="00635348"/>
                        <w:p w14:paraId="7F25DA5D" w14:textId="77777777" w:rsidR="00635348" w:rsidRDefault="00635348" w:rsidP="00635348"/>
                        <w:p w14:paraId="6A372548" w14:textId="77777777" w:rsidR="00635348" w:rsidRDefault="00635348" w:rsidP="00635348"/>
                        <w:p w14:paraId="78C18C57" w14:textId="5BB6BD1E" w:rsidR="00635348" w:rsidRDefault="006353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644DC4" id="_x0000_t202" coordsize="21600,21600" o:spt="202" path="m,l,21600r21600,l21600,xe">
              <v:stroke joinstyle="miter"/>
              <v:path gradientshapeok="t" o:connecttype="rect"/>
            </v:shapetype>
            <v:shape id="Text Box 2" o:spid="_x0000_s1026" type="#_x0000_t202" style="position:absolute;margin-left:154.85pt;margin-top:17.25pt;width:290.85pt;height:135.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" stroked="f">
              <v:textbox>
                <w:txbxContent>
                  <w:p w14:paraId="6EB21C4D" w14:textId="0C821F56" w:rsidR="00635348" w:rsidRDefault="00635348" w:rsidP="00635348">
                    <w:pPr>
                      <w:bidi/>
                      <w:rPr>
                        <w:rFonts w:cs="B Mehr"/>
                      </w:rPr>
                    </w:pPr>
                    <w:r>
                      <w:rPr>
                        <w:rFonts w:cs="B Mehr" w:hint="cs"/>
                        <w:rtl/>
                      </w:rPr>
                      <w:t>تقریر درس خارج فقه،  استاد حاج سید علی موسوی اردبیلی</w:t>
                    </w:r>
                    <w:r>
                      <w:rPr>
                        <w:rFonts w:cs="B Mehr" w:hint="cs"/>
                      </w:rPr>
                      <w:t xml:space="preserve"> </w:t>
                    </w:r>
                  </w:p>
                  <w:p w14:paraId="41F4B49A" w14:textId="77777777" w:rsidR="00635348" w:rsidRDefault="00635348" w:rsidP="00635348">
                    <w:pPr>
                      <w:jc w:val="right"/>
                      <w:rPr>
                        <w:rFonts w:cs="B Mehr"/>
                      </w:rPr>
                    </w:pPr>
                    <w:r>
                      <w:rPr>
                        <w:rFonts w:cs="B Mehr" w:hint="cs"/>
                        <w:rtl/>
                      </w:rPr>
                      <w:t>مبحث:  نکاح - احکام  اولاد</w:t>
                    </w:r>
                  </w:p>
                  <w:p w14:paraId="63C150E2" w14:textId="45F032AE" w:rsidR="00635348" w:rsidRDefault="00635348" w:rsidP="00635348">
                    <w:pPr>
                      <w:bidi/>
                    </w:pPr>
                    <w:r>
                      <w:rPr>
                        <w:rFonts w:cs="B Mehr" w:hint="cs"/>
                        <w:rtl/>
                      </w:rPr>
                      <w:t xml:space="preserve">تاریخ: </w:t>
                    </w:r>
                    <w:r>
                      <w:rPr>
                        <w:rFonts w:cs="B Mehr" w:hint="cs"/>
                        <w:lang w:bidi="fa-IR"/>
                      </w:rPr>
                      <w:t xml:space="preserve"> </w:t>
                    </w:r>
                    <w:r>
                      <w:rPr>
                        <w:rFonts w:cs="B Mehr" w:hint="cs"/>
                        <w:rtl/>
                        <w:lang w:bidi="fa-IR"/>
                      </w:rPr>
                      <w:t xml:space="preserve">     </w:t>
                    </w:r>
                    <w:r>
                      <w:rPr>
                        <w:rFonts w:cs="B Mehr" w:hint="cs"/>
                        <w:rtl/>
                        <w:lang w:bidi="fa-IR"/>
                      </w:rPr>
                      <w:t xml:space="preserve"> </w:t>
                    </w:r>
                    <w:r>
                      <w:rPr>
                        <w:rFonts w:cs="B Mehr" w:hint="cs"/>
                        <w:rtl/>
                        <w:lang w:bidi="fa-IR"/>
                      </w:rPr>
                      <w:t xml:space="preserve">  شنبه </w:t>
                    </w:r>
                    <w:r>
                      <w:rPr>
                        <w:rFonts w:cs="B Mehr" w:hint="cs"/>
                        <w:rtl/>
                      </w:rPr>
                      <w:t xml:space="preserve">،   </w:t>
                    </w:r>
                    <w:r>
                      <w:rPr>
                        <w:rFonts w:cs="B Mehr" w:hint="cs"/>
                        <w:rtl/>
                      </w:rPr>
                      <w:t>27</w:t>
                    </w:r>
                    <w:r>
                      <w:rPr>
                        <w:rFonts w:cs="B Mehr" w:hint="cs"/>
                        <w:rtl/>
                      </w:rPr>
                      <w:t xml:space="preserve">      بهمن   ماه - 1403ه.ش</w:t>
                    </w:r>
                  </w:p>
                  <w:p w14:paraId="0A48DF3F" w14:textId="77777777" w:rsidR="00635348" w:rsidRDefault="00635348" w:rsidP="00635348"/>
                  <w:p w14:paraId="28A93201" w14:textId="77777777" w:rsidR="00635348" w:rsidRDefault="00635348" w:rsidP="00635348"/>
                  <w:p w14:paraId="7DF01A17" w14:textId="77777777" w:rsidR="00635348" w:rsidRDefault="00635348" w:rsidP="00635348"/>
                  <w:p w14:paraId="7F25DA5D" w14:textId="77777777" w:rsidR="00635348" w:rsidRDefault="00635348" w:rsidP="00635348"/>
                  <w:p w14:paraId="6A372548" w14:textId="77777777" w:rsidR="00635348" w:rsidRDefault="00635348" w:rsidP="00635348"/>
                  <w:p w14:paraId="78C18C57" w14:textId="5BB6BD1E" w:rsidR="00635348" w:rsidRDefault="00635348"/>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40D9E067" wp14:editId="0182AB49">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0C412" w14:textId="77777777" w:rsidR="00635348" w:rsidRDefault="0063534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141"/>
    <w:rsid w:val="000D1693"/>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C29"/>
    <w:rsid w:val="000E7FD5"/>
    <w:rsid w:val="000F0B0E"/>
    <w:rsid w:val="000F0DA7"/>
    <w:rsid w:val="000F2540"/>
    <w:rsid w:val="000F2D1E"/>
    <w:rsid w:val="000F2E50"/>
    <w:rsid w:val="000F42DC"/>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20FB"/>
    <w:rsid w:val="001421A6"/>
    <w:rsid w:val="00142696"/>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44F"/>
    <w:rsid w:val="00161435"/>
    <w:rsid w:val="00162424"/>
    <w:rsid w:val="00164126"/>
    <w:rsid w:val="00164707"/>
    <w:rsid w:val="00164A73"/>
    <w:rsid w:val="00164C8E"/>
    <w:rsid w:val="00164CB9"/>
    <w:rsid w:val="00165E7F"/>
    <w:rsid w:val="001661A8"/>
    <w:rsid w:val="00166D8F"/>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999"/>
    <w:rsid w:val="00194798"/>
    <w:rsid w:val="00194F1C"/>
    <w:rsid w:val="00195093"/>
    <w:rsid w:val="00195C21"/>
    <w:rsid w:val="00195E80"/>
    <w:rsid w:val="00196B6F"/>
    <w:rsid w:val="00196B8A"/>
    <w:rsid w:val="00196FFE"/>
    <w:rsid w:val="00197DDA"/>
    <w:rsid w:val="001A04BA"/>
    <w:rsid w:val="001A1180"/>
    <w:rsid w:val="001A139F"/>
    <w:rsid w:val="001A1B2F"/>
    <w:rsid w:val="001A1C65"/>
    <w:rsid w:val="001A2687"/>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2C2"/>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3760"/>
    <w:rsid w:val="00224A02"/>
    <w:rsid w:val="00225039"/>
    <w:rsid w:val="0022642F"/>
    <w:rsid w:val="00226A06"/>
    <w:rsid w:val="00226BFA"/>
    <w:rsid w:val="002275B4"/>
    <w:rsid w:val="00230ACF"/>
    <w:rsid w:val="00230EC1"/>
    <w:rsid w:val="0023164B"/>
    <w:rsid w:val="002316AF"/>
    <w:rsid w:val="00231CAC"/>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609"/>
    <w:rsid w:val="0027131A"/>
    <w:rsid w:val="002716DD"/>
    <w:rsid w:val="00271707"/>
    <w:rsid w:val="002717DA"/>
    <w:rsid w:val="00272552"/>
    <w:rsid w:val="002731BF"/>
    <w:rsid w:val="002733BA"/>
    <w:rsid w:val="002751C0"/>
    <w:rsid w:val="0027535A"/>
    <w:rsid w:val="002758ED"/>
    <w:rsid w:val="002760B8"/>
    <w:rsid w:val="00277591"/>
    <w:rsid w:val="00280112"/>
    <w:rsid w:val="00281694"/>
    <w:rsid w:val="00281DC9"/>
    <w:rsid w:val="002829CF"/>
    <w:rsid w:val="0028356D"/>
    <w:rsid w:val="002836B8"/>
    <w:rsid w:val="0028373C"/>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3CC"/>
    <w:rsid w:val="002B7F7E"/>
    <w:rsid w:val="002C010F"/>
    <w:rsid w:val="002C04F6"/>
    <w:rsid w:val="002C0734"/>
    <w:rsid w:val="002C0B0D"/>
    <w:rsid w:val="002C1466"/>
    <w:rsid w:val="002C1CB3"/>
    <w:rsid w:val="002C1DD0"/>
    <w:rsid w:val="002C271B"/>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668"/>
    <w:rsid w:val="002E7B0A"/>
    <w:rsid w:val="002F14F2"/>
    <w:rsid w:val="002F1AD9"/>
    <w:rsid w:val="002F1F48"/>
    <w:rsid w:val="002F3DC1"/>
    <w:rsid w:val="002F45A0"/>
    <w:rsid w:val="002F474F"/>
    <w:rsid w:val="002F4E9B"/>
    <w:rsid w:val="002F56D4"/>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935"/>
    <w:rsid w:val="003C0FF5"/>
    <w:rsid w:val="003C1FAF"/>
    <w:rsid w:val="003C2326"/>
    <w:rsid w:val="003C282A"/>
    <w:rsid w:val="003C2BF2"/>
    <w:rsid w:val="003C2E55"/>
    <w:rsid w:val="003C32D6"/>
    <w:rsid w:val="003C39EF"/>
    <w:rsid w:val="003C3B1E"/>
    <w:rsid w:val="003C3F8F"/>
    <w:rsid w:val="003C4108"/>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25DD"/>
    <w:rsid w:val="00432F13"/>
    <w:rsid w:val="00433357"/>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D"/>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2FF5"/>
    <w:rsid w:val="004B3F7E"/>
    <w:rsid w:val="004B41A1"/>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D6"/>
    <w:rsid w:val="004C545D"/>
    <w:rsid w:val="004C5E0C"/>
    <w:rsid w:val="004C68CC"/>
    <w:rsid w:val="004C6CE6"/>
    <w:rsid w:val="004C7429"/>
    <w:rsid w:val="004D06C9"/>
    <w:rsid w:val="004D0F9E"/>
    <w:rsid w:val="004D1738"/>
    <w:rsid w:val="004D2019"/>
    <w:rsid w:val="004D2ED1"/>
    <w:rsid w:val="004D3D43"/>
    <w:rsid w:val="004D3EF3"/>
    <w:rsid w:val="004D6275"/>
    <w:rsid w:val="004D6B0B"/>
    <w:rsid w:val="004D6CFD"/>
    <w:rsid w:val="004D6EA3"/>
    <w:rsid w:val="004E01DE"/>
    <w:rsid w:val="004E0630"/>
    <w:rsid w:val="004E10EF"/>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501417"/>
    <w:rsid w:val="00501DA0"/>
    <w:rsid w:val="00501E11"/>
    <w:rsid w:val="00501E40"/>
    <w:rsid w:val="00504523"/>
    <w:rsid w:val="0050477B"/>
    <w:rsid w:val="005049A1"/>
    <w:rsid w:val="005069E4"/>
    <w:rsid w:val="00506B77"/>
    <w:rsid w:val="00506C55"/>
    <w:rsid w:val="0051282F"/>
    <w:rsid w:val="0051336B"/>
    <w:rsid w:val="005135BD"/>
    <w:rsid w:val="00513657"/>
    <w:rsid w:val="00513E0B"/>
    <w:rsid w:val="005140A6"/>
    <w:rsid w:val="00514272"/>
    <w:rsid w:val="00514290"/>
    <w:rsid w:val="005149EF"/>
    <w:rsid w:val="00514A85"/>
    <w:rsid w:val="00514AD2"/>
    <w:rsid w:val="005150AE"/>
    <w:rsid w:val="0051559B"/>
    <w:rsid w:val="00515A34"/>
    <w:rsid w:val="00517568"/>
    <w:rsid w:val="00517CCA"/>
    <w:rsid w:val="005204D0"/>
    <w:rsid w:val="0052082D"/>
    <w:rsid w:val="00520A5D"/>
    <w:rsid w:val="00520BC4"/>
    <w:rsid w:val="00520FB1"/>
    <w:rsid w:val="00521235"/>
    <w:rsid w:val="0052165F"/>
    <w:rsid w:val="00521B22"/>
    <w:rsid w:val="00522B2B"/>
    <w:rsid w:val="00522B9E"/>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85C"/>
    <w:rsid w:val="00550B0E"/>
    <w:rsid w:val="00551367"/>
    <w:rsid w:val="0055269E"/>
    <w:rsid w:val="0055315A"/>
    <w:rsid w:val="005532E0"/>
    <w:rsid w:val="00553305"/>
    <w:rsid w:val="00553758"/>
    <w:rsid w:val="005545A6"/>
    <w:rsid w:val="00554D35"/>
    <w:rsid w:val="0055671F"/>
    <w:rsid w:val="00556729"/>
    <w:rsid w:val="00556776"/>
    <w:rsid w:val="005568E8"/>
    <w:rsid w:val="00557416"/>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73D"/>
    <w:rsid w:val="00592E51"/>
    <w:rsid w:val="00592E91"/>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667B"/>
    <w:rsid w:val="005B6905"/>
    <w:rsid w:val="005B7A82"/>
    <w:rsid w:val="005C1591"/>
    <w:rsid w:val="005C2DC4"/>
    <w:rsid w:val="005C3A1D"/>
    <w:rsid w:val="005C577D"/>
    <w:rsid w:val="005C60D7"/>
    <w:rsid w:val="005C654C"/>
    <w:rsid w:val="005C6E90"/>
    <w:rsid w:val="005C7D5D"/>
    <w:rsid w:val="005C7DD3"/>
    <w:rsid w:val="005D0294"/>
    <w:rsid w:val="005D1A30"/>
    <w:rsid w:val="005D1C00"/>
    <w:rsid w:val="005D2D13"/>
    <w:rsid w:val="005D3E93"/>
    <w:rsid w:val="005D4071"/>
    <w:rsid w:val="005D432C"/>
    <w:rsid w:val="005D4482"/>
    <w:rsid w:val="005D4F3E"/>
    <w:rsid w:val="005D571F"/>
    <w:rsid w:val="005D6533"/>
    <w:rsid w:val="005D73CF"/>
    <w:rsid w:val="005E052A"/>
    <w:rsid w:val="005E06DE"/>
    <w:rsid w:val="005E0932"/>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8F"/>
    <w:rsid w:val="005F65C7"/>
    <w:rsid w:val="005F74ED"/>
    <w:rsid w:val="0060074D"/>
    <w:rsid w:val="006015F3"/>
    <w:rsid w:val="0060222B"/>
    <w:rsid w:val="0060301F"/>
    <w:rsid w:val="006032B4"/>
    <w:rsid w:val="00603B21"/>
    <w:rsid w:val="0060413C"/>
    <w:rsid w:val="00604894"/>
    <w:rsid w:val="00604A0D"/>
    <w:rsid w:val="00605885"/>
    <w:rsid w:val="0060689C"/>
    <w:rsid w:val="00606C7E"/>
    <w:rsid w:val="00607112"/>
    <w:rsid w:val="00610278"/>
    <w:rsid w:val="006103C1"/>
    <w:rsid w:val="00610653"/>
    <w:rsid w:val="00610A07"/>
    <w:rsid w:val="00612591"/>
    <w:rsid w:val="006128E0"/>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348"/>
    <w:rsid w:val="00636746"/>
    <w:rsid w:val="00636796"/>
    <w:rsid w:val="00636831"/>
    <w:rsid w:val="00636853"/>
    <w:rsid w:val="00636E90"/>
    <w:rsid w:val="006409CF"/>
    <w:rsid w:val="00640E30"/>
    <w:rsid w:val="00641202"/>
    <w:rsid w:val="006414F7"/>
    <w:rsid w:val="00641531"/>
    <w:rsid w:val="006419B6"/>
    <w:rsid w:val="00642092"/>
    <w:rsid w:val="0064316B"/>
    <w:rsid w:val="0064350D"/>
    <w:rsid w:val="0064392E"/>
    <w:rsid w:val="00643A14"/>
    <w:rsid w:val="006447C3"/>
    <w:rsid w:val="00646CDE"/>
    <w:rsid w:val="00647CF9"/>
    <w:rsid w:val="00647D57"/>
    <w:rsid w:val="00647F91"/>
    <w:rsid w:val="00650174"/>
    <w:rsid w:val="00650CB7"/>
    <w:rsid w:val="00651775"/>
    <w:rsid w:val="00651DBF"/>
    <w:rsid w:val="00652E92"/>
    <w:rsid w:val="00652EA6"/>
    <w:rsid w:val="006537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5C1"/>
    <w:rsid w:val="006F0396"/>
    <w:rsid w:val="006F03A6"/>
    <w:rsid w:val="006F1757"/>
    <w:rsid w:val="006F1A47"/>
    <w:rsid w:val="006F2215"/>
    <w:rsid w:val="006F2321"/>
    <w:rsid w:val="006F26E2"/>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4C4"/>
    <w:rsid w:val="00722952"/>
    <w:rsid w:val="00722AC3"/>
    <w:rsid w:val="00722E54"/>
    <w:rsid w:val="00723767"/>
    <w:rsid w:val="0072411D"/>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3F19"/>
    <w:rsid w:val="007641CF"/>
    <w:rsid w:val="00764E6D"/>
    <w:rsid w:val="007650EB"/>
    <w:rsid w:val="007665F3"/>
    <w:rsid w:val="00766E11"/>
    <w:rsid w:val="0076748F"/>
    <w:rsid w:val="00767B72"/>
    <w:rsid w:val="00767F00"/>
    <w:rsid w:val="00770187"/>
    <w:rsid w:val="00770475"/>
    <w:rsid w:val="007706A7"/>
    <w:rsid w:val="007727D1"/>
    <w:rsid w:val="00772F46"/>
    <w:rsid w:val="007736F6"/>
    <w:rsid w:val="00773FC9"/>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2DE7"/>
    <w:rsid w:val="007C31BE"/>
    <w:rsid w:val="007C3F32"/>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4"/>
    <w:rsid w:val="008028B7"/>
    <w:rsid w:val="0080342E"/>
    <w:rsid w:val="00803A99"/>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17A7"/>
    <w:rsid w:val="00822037"/>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5B"/>
    <w:rsid w:val="008415A4"/>
    <w:rsid w:val="00843654"/>
    <w:rsid w:val="008450DC"/>
    <w:rsid w:val="0084511E"/>
    <w:rsid w:val="0084563B"/>
    <w:rsid w:val="00845F99"/>
    <w:rsid w:val="0084685A"/>
    <w:rsid w:val="008473A4"/>
    <w:rsid w:val="00851175"/>
    <w:rsid w:val="0085135C"/>
    <w:rsid w:val="0085159A"/>
    <w:rsid w:val="00851737"/>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360A"/>
    <w:rsid w:val="00874389"/>
    <w:rsid w:val="008744A3"/>
    <w:rsid w:val="008751D3"/>
    <w:rsid w:val="008755CE"/>
    <w:rsid w:val="00875CD7"/>
    <w:rsid w:val="00875F23"/>
    <w:rsid w:val="00876056"/>
    <w:rsid w:val="00876372"/>
    <w:rsid w:val="00880173"/>
    <w:rsid w:val="00880698"/>
    <w:rsid w:val="00880E6D"/>
    <w:rsid w:val="00881627"/>
    <w:rsid w:val="00881E43"/>
    <w:rsid w:val="00882A45"/>
    <w:rsid w:val="008830C4"/>
    <w:rsid w:val="00883153"/>
    <w:rsid w:val="00884197"/>
    <w:rsid w:val="00884A15"/>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D0B"/>
    <w:rsid w:val="00963451"/>
    <w:rsid w:val="00964909"/>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02DD"/>
    <w:rsid w:val="00981C3B"/>
    <w:rsid w:val="009822C8"/>
    <w:rsid w:val="00984C89"/>
    <w:rsid w:val="00986056"/>
    <w:rsid w:val="00987056"/>
    <w:rsid w:val="0098763E"/>
    <w:rsid w:val="00987CED"/>
    <w:rsid w:val="00987DBD"/>
    <w:rsid w:val="00990129"/>
    <w:rsid w:val="009903C7"/>
    <w:rsid w:val="00990A8F"/>
    <w:rsid w:val="00990C14"/>
    <w:rsid w:val="00992BE8"/>
    <w:rsid w:val="00994DEF"/>
    <w:rsid w:val="00995505"/>
    <w:rsid w:val="00995859"/>
    <w:rsid w:val="0099697B"/>
    <w:rsid w:val="00996A30"/>
    <w:rsid w:val="00996A5B"/>
    <w:rsid w:val="0099718B"/>
    <w:rsid w:val="009A014A"/>
    <w:rsid w:val="009A076A"/>
    <w:rsid w:val="009A0D65"/>
    <w:rsid w:val="009A0FD8"/>
    <w:rsid w:val="009A18D5"/>
    <w:rsid w:val="009A1A1A"/>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7B69"/>
    <w:rsid w:val="00A07F9F"/>
    <w:rsid w:val="00A07FB2"/>
    <w:rsid w:val="00A105DA"/>
    <w:rsid w:val="00A106A5"/>
    <w:rsid w:val="00A10CC6"/>
    <w:rsid w:val="00A11857"/>
    <w:rsid w:val="00A11F28"/>
    <w:rsid w:val="00A1285F"/>
    <w:rsid w:val="00A133AB"/>
    <w:rsid w:val="00A13DDF"/>
    <w:rsid w:val="00A16956"/>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2A0B"/>
    <w:rsid w:val="00A3387B"/>
    <w:rsid w:val="00A349E5"/>
    <w:rsid w:val="00A34AEC"/>
    <w:rsid w:val="00A35016"/>
    <w:rsid w:val="00A356F4"/>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901D9"/>
    <w:rsid w:val="00A90237"/>
    <w:rsid w:val="00A902FE"/>
    <w:rsid w:val="00A90373"/>
    <w:rsid w:val="00A90800"/>
    <w:rsid w:val="00A9122B"/>
    <w:rsid w:val="00A913AC"/>
    <w:rsid w:val="00A917B6"/>
    <w:rsid w:val="00A932BF"/>
    <w:rsid w:val="00A93D74"/>
    <w:rsid w:val="00A93E43"/>
    <w:rsid w:val="00A943A7"/>
    <w:rsid w:val="00A96A24"/>
    <w:rsid w:val="00A97C4F"/>
    <w:rsid w:val="00AA1271"/>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EC4"/>
    <w:rsid w:val="00B10FDF"/>
    <w:rsid w:val="00B1268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3643"/>
    <w:rsid w:val="00B2383F"/>
    <w:rsid w:val="00B23C2C"/>
    <w:rsid w:val="00B240A1"/>
    <w:rsid w:val="00B24408"/>
    <w:rsid w:val="00B25803"/>
    <w:rsid w:val="00B25B09"/>
    <w:rsid w:val="00B25B77"/>
    <w:rsid w:val="00B26802"/>
    <w:rsid w:val="00B26936"/>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3746"/>
    <w:rsid w:val="00B943C0"/>
    <w:rsid w:val="00B9441F"/>
    <w:rsid w:val="00B94CAC"/>
    <w:rsid w:val="00B95AF0"/>
    <w:rsid w:val="00B96168"/>
    <w:rsid w:val="00B96940"/>
    <w:rsid w:val="00B96D5D"/>
    <w:rsid w:val="00B979CA"/>
    <w:rsid w:val="00BA21A9"/>
    <w:rsid w:val="00BA305E"/>
    <w:rsid w:val="00BA3589"/>
    <w:rsid w:val="00BA50DA"/>
    <w:rsid w:val="00BA59AA"/>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3D0"/>
    <w:rsid w:val="00D06503"/>
    <w:rsid w:val="00D06EC0"/>
    <w:rsid w:val="00D10220"/>
    <w:rsid w:val="00D1134E"/>
    <w:rsid w:val="00D122E9"/>
    <w:rsid w:val="00D13C8D"/>
    <w:rsid w:val="00D155AD"/>
    <w:rsid w:val="00D16F15"/>
    <w:rsid w:val="00D16FC7"/>
    <w:rsid w:val="00D17AAE"/>
    <w:rsid w:val="00D202F8"/>
    <w:rsid w:val="00D2046D"/>
    <w:rsid w:val="00D20C84"/>
    <w:rsid w:val="00D2144E"/>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242C"/>
    <w:rsid w:val="00D52774"/>
    <w:rsid w:val="00D53875"/>
    <w:rsid w:val="00D53C05"/>
    <w:rsid w:val="00D550D0"/>
    <w:rsid w:val="00D56684"/>
    <w:rsid w:val="00D56757"/>
    <w:rsid w:val="00D5725A"/>
    <w:rsid w:val="00D579D2"/>
    <w:rsid w:val="00D57A0D"/>
    <w:rsid w:val="00D57FD5"/>
    <w:rsid w:val="00D60970"/>
    <w:rsid w:val="00D61D8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55DD"/>
    <w:rsid w:val="00DD55E2"/>
    <w:rsid w:val="00DD64BB"/>
    <w:rsid w:val="00DE0283"/>
    <w:rsid w:val="00DE06E9"/>
    <w:rsid w:val="00DE2660"/>
    <w:rsid w:val="00DE2DFA"/>
    <w:rsid w:val="00DE3EC1"/>
    <w:rsid w:val="00DE49FA"/>
    <w:rsid w:val="00DE50EC"/>
    <w:rsid w:val="00DE7889"/>
    <w:rsid w:val="00DE7A0D"/>
    <w:rsid w:val="00DE7A76"/>
    <w:rsid w:val="00DF0910"/>
    <w:rsid w:val="00DF1049"/>
    <w:rsid w:val="00DF22E3"/>
    <w:rsid w:val="00DF2C18"/>
    <w:rsid w:val="00DF2E8D"/>
    <w:rsid w:val="00DF32F5"/>
    <w:rsid w:val="00DF403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A01"/>
    <w:rsid w:val="00E25EF2"/>
    <w:rsid w:val="00E26276"/>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8F1"/>
    <w:rsid w:val="00E40E7F"/>
    <w:rsid w:val="00E412DE"/>
    <w:rsid w:val="00E421D8"/>
    <w:rsid w:val="00E42CE6"/>
    <w:rsid w:val="00E432E3"/>
    <w:rsid w:val="00E43AD1"/>
    <w:rsid w:val="00E43AF9"/>
    <w:rsid w:val="00E452D0"/>
    <w:rsid w:val="00E464B7"/>
    <w:rsid w:val="00E46AFD"/>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2B3F"/>
    <w:rsid w:val="00EA2C32"/>
    <w:rsid w:val="00EA2CC7"/>
    <w:rsid w:val="00EA35EC"/>
    <w:rsid w:val="00EA36CE"/>
    <w:rsid w:val="00EA3E74"/>
    <w:rsid w:val="00EA57A0"/>
    <w:rsid w:val="00EA5958"/>
    <w:rsid w:val="00EA648C"/>
    <w:rsid w:val="00EA7966"/>
    <w:rsid w:val="00EB050B"/>
    <w:rsid w:val="00EB1D58"/>
    <w:rsid w:val="00EB26DB"/>
    <w:rsid w:val="00EB2FF6"/>
    <w:rsid w:val="00EB3572"/>
    <w:rsid w:val="00EB3B32"/>
    <w:rsid w:val="00EB46F3"/>
    <w:rsid w:val="00EB4A29"/>
    <w:rsid w:val="00EB6244"/>
    <w:rsid w:val="00EC1281"/>
    <w:rsid w:val="00EC1721"/>
    <w:rsid w:val="00EC220B"/>
    <w:rsid w:val="00EC2D97"/>
    <w:rsid w:val="00EC2F75"/>
    <w:rsid w:val="00EC365F"/>
    <w:rsid w:val="00EC3693"/>
    <w:rsid w:val="00EC5734"/>
    <w:rsid w:val="00EC5DC8"/>
    <w:rsid w:val="00EC605D"/>
    <w:rsid w:val="00EC6160"/>
    <w:rsid w:val="00EC7700"/>
    <w:rsid w:val="00EC7DC8"/>
    <w:rsid w:val="00EC7F72"/>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763E"/>
    <w:rsid w:val="00F17CBB"/>
    <w:rsid w:val="00F22DCF"/>
    <w:rsid w:val="00F248CE"/>
    <w:rsid w:val="00F24CA8"/>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7FF"/>
    <w:rsid w:val="00F53B5C"/>
    <w:rsid w:val="00F55324"/>
    <w:rsid w:val="00F55B55"/>
    <w:rsid w:val="00F55F4D"/>
    <w:rsid w:val="00F5720C"/>
    <w:rsid w:val="00F57466"/>
    <w:rsid w:val="00F575BC"/>
    <w:rsid w:val="00F5786F"/>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2D5"/>
    <w:rsid w:val="00F86BDC"/>
    <w:rsid w:val="00F86E64"/>
    <w:rsid w:val="00F86F43"/>
    <w:rsid w:val="00F871DE"/>
    <w:rsid w:val="00F9052E"/>
    <w:rsid w:val="00F90A95"/>
    <w:rsid w:val="00F90A99"/>
    <w:rsid w:val="00F90DD3"/>
    <w:rsid w:val="00F91736"/>
    <w:rsid w:val="00F92E2D"/>
    <w:rsid w:val="00F93448"/>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403"/>
    <w:rsid w:val="00FA5DD1"/>
    <w:rsid w:val="00FA6266"/>
    <w:rsid w:val="00FA69BB"/>
    <w:rsid w:val="00FA738C"/>
    <w:rsid w:val="00FB01AE"/>
    <w:rsid w:val="00FB10FC"/>
    <w:rsid w:val="00FB1976"/>
    <w:rsid w:val="00FB22D7"/>
    <w:rsid w:val="00FB25FD"/>
    <w:rsid w:val="00FB2D38"/>
    <w:rsid w:val="00FB32AB"/>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0795"/>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20730</TotalTime>
  <Pages>1</Pages>
  <Words>770</Words>
  <Characters>4394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469</cp:revision>
  <cp:lastPrinted>2025-02-13T09:55:00Z</cp:lastPrinted>
  <dcterms:created xsi:type="dcterms:W3CDTF">2022-10-16T08:36:00Z</dcterms:created>
  <dcterms:modified xsi:type="dcterms:W3CDTF">2025-02-15T08:00:00Z</dcterms:modified>
</cp:coreProperties>
</file>